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22A8" w14:textId="77777777" w:rsidR="004D23CA" w:rsidRPr="00561AA8" w:rsidRDefault="002356B7" w:rsidP="00561AA8">
      <w:pPr>
        <w:pStyle w:val="Heading2"/>
        <w:spacing w:before="120" w:after="120"/>
        <w:rPr>
          <w:rFonts w:asciiTheme="minorHAnsi" w:hAnsiTheme="minorHAnsi" w:cstheme="minorHAnsi"/>
        </w:rPr>
      </w:pPr>
      <w:r w:rsidRPr="00561AA8">
        <w:rPr>
          <w:rFonts w:asciiTheme="minorHAnsi" w:hAnsiTheme="minorHAnsi" w:cstheme="minorHAnsi"/>
        </w:rPr>
        <w:t>PURPOSE</w:t>
      </w:r>
      <w:r w:rsidR="004D23CA" w:rsidRPr="00561AA8">
        <w:rPr>
          <w:rFonts w:asciiTheme="minorHAnsi" w:hAnsiTheme="minorHAnsi" w:cstheme="minorHAnsi"/>
        </w:rPr>
        <w:t>:</w:t>
      </w:r>
    </w:p>
    <w:p w14:paraId="211C1D4E" w14:textId="2AFE4C7B" w:rsidR="00564352" w:rsidRPr="00E612E7" w:rsidRDefault="006F6B6E" w:rsidP="00561AA8">
      <w:pPr>
        <w:spacing w:before="120" w:after="120"/>
      </w:pPr>
      <w:r w:rsidRPr="00561AA8">
        <w:t xml:space="preserve">The purpose of this </w:t>
      </w:r>
      <w:r w:rsidR="004A3E2C" w:rsidRPr="00561AA8">
        <w:t>Standard Operating Procedure (</w:t>
      </w:r>
      <w:r w:rsidR="00E865B9" w:rsidRPr="00561AA8">
        <w:t>SOP) is</w:t>
      </w:r>
      <w:r w:rsidRPr="00561AA8">
        <w:t xml:space="preserve"> to describe the process for </w:t>
      </w:r>
      <w:r w:rsidR="004E169B" w:rsidRPr="00561AA8">
        <w:t>quality assurance review</w:t>
      </w:r>
      <w:r w:rsidR="00242B46" w:rsidRPr="00561AA8">
        <w:t>s</w:t>
      </w:r>
      <w:r w:rsidR="00564352" w:rsidRPr="00561AA8">
        <w:t xml:space="preserve"> of research and clinical trials</w:t>
      </w:r>
      <w:r w:rsidR="00242B46" w:rsidRPr="00561AA8">
        <w:t xml:space="preserve"> which are part of research quality improvement and education processes</w:t>
      </w:r>
      <w:r w:rsidR="00242B46" w:rsidRPr="00047BAE">
        <w:t xml:space="preserve"> </w:t>
      </w:r>
      <w:r w:rsidR="00242B46" w:rsidRPr="00E612E7">
        <w:t xml:space="preserve">including internal and external </w:t>
      </w:r>
      <w:r w:rsidR="00564352" w:rsidRPr="00E612E7">
        <w:t>audit and inspection.</w:t>
      </w:r>
    </w:p>
    <w:p w14:paraId="05941CB0" w14:textId="77777777" w:rsidR="004D23CA" w:rsidRPr="00561AA8" w:rsidRDefault="002356B7" w:rsidP="00561AA8">
      <w:pPr>
        <w:pStyle w:val="Heading2"/>
        <w:spacing w:before="120" w:after="120"/>
        <w:rPr>
          <w:rFonts w:asciiTheme="minorHAnsi" w:hAnsiTheme="minorHAnsi" w:cstheme="minorHAnsi"/>
        </w:rPr>
      </w:pPr>
      <w:r w:rsidRPr="00561AA8">
        <w:rPr>
          <w:rFonts w:asciiTheme="minorHAnsi" w:hAnsiTheme="minorHAnsi" w:cstheme="minorHAnsi"/>
        </w:rPr>
        <w:t>SCOPE</w:t>
      </w:r>
      <w:r w:rsidR="004D23CA" w:rsidRPr="00561AA8">
        <w:rPr>
          <w:rFonts w:asciiTheme="minorHAnsi" w:hAnsiTheme="minorHAnsi" w:cstheme="minorHAnsi"/>
        </w:rPr>
        <w:t>:</w:t>
      </w:r>
    </w:p>
    <w:p w14:paraId="7CCD6CAB" w14:textId="0ADF6FF1" w:rsidR="00B9662D" w:rsidRPr="00561AA8" w:rsidRDefault="00564352" w:rsidP="00561AA8">
      <w:pPr>
        <w:spacing w:before="120" w:after="120"/>
      </w:pPr>
      <w:r w:rsidRPr="00561AA8">
        <w:t>This SOP applies to</w:t>
      </w:r>
      <w:r w:rsidR="00B9662D" w:rsidRPr="00561AA8">
        <w:t xml:space="preserve"> reviews, audits and inspection by:</w:t>
      </w:r>
    </w:p>
    <w:p w14:paraId="1BB42458" w14:textId="4AE63AE1" w:rsidR="005071A9" w:rsidRPr="00561AA8" w:rsidRDefault="00564352" w:rsidP="00561AA8">
      <w:pPr>
        <w:pStyle w:val="ListParagraph"/>
        <w:numPr>
          <w:ilvl w:val="0"/>
          <w:numId w:val="23"/>
        </w:numPr>
        <w:spacing w:before="120" w:after="120"/>
        <w:contextualSpacing w:val="0"/>
      </w:pPr>
      <w:r w:rsidRPr="00561AA8">
        <w:t xml:space="preserve">Internal </w:t>
      </w:r>
      <w:r w:rsidR="004E169B" w:rsidRPr="00561AA8">
        <w:t>quality assurance activities</w:t>
      </w:r>
      <w:r w:rsidR="00B9662D" w:rsidRPr="00561AA8">
        <w:t xml:space="preserve"> -</w:t>
      </w:r>
      <w:r w:rsidR="006F6B6E" w:rsidRPr="00561AA8">
        <w:t xml:space="preserve"> </w:t>
      </w:r>
      <w:r w:rsidR="00B9662D" w:rsidRPr="00561AA8">
        <w:t xml:space="preserve">which </w:t>
      </w:r>
      <w:r w:rsidR="006F6B6E" w:rsidRPr="00561AA8">
        <w:t>may be conducted on</w:t>
      </w:r>
      <w:r w:rsidR="005071A9" w:rsidRPr="00561AA8">
        <w:t>:</w:t>
      </w:r>
    </w:p>
    <w:p w14:paraId="2C74655E" w14:textId="7D6DB8A1" w:rsidR="005071A9" w:rsidRPr="00FA2413" w:rsidRDefault="005071A9" w:rsidP="00561AA8">
      <w:pPr>
        <w:pStyle w:val="ListParagraph"/>
        <w:numPr>
          <w:ilvl w:val="0"/>
          <w:numId w:val="19"/>
        </w:numPr>
        <w:spacing w:before="120" w:after="120"/>
        <w:ind w:left="1276"/>
        <w:contextualSpacing w:val="0"/>
      </w:pPr>
      <w:r w:rsidRPr="00561AA8">
        <w:t>A</w:t>
      </w:r>
      <w:r w:rsidR="006F6B6E" w:rsidRPr="00561AA8">
        <w:t xml:space="preserve">ny </w:t>
      </w:r>
      <w:r w:rsidR="00C43876" w:rsidRPr="00561AA8">
        <w:t>research study</w:t>
      </w:r>
      <w:r w:rsidR="00CC054D" w:rsidRPr="00561AA8">
        <w:t xml:space="preserve"> </w:t>
      </w:r>
      <w:r w:rsidR="00C43876" w:rsidRPr="00561AA8">
        <w:t>conducted</w:t>
      </w:r>
      <w:r w:rsidR="006F6B6E" w:rsidRPr="00561AA8">
        <w:t xml:space="preserve"> at Epworth</w:t>
      </w:r>
      <w:r w:rsidR="00C43876" w:rsidRPr="00561AA8">
        <w:t xml:space="preserve">, including </w:t>
      </w:r>
      <w:r w:rsidR="00B9662D" w:rsidRPr="00561AA8">
        <w:t>clinical trials,</w:t>
      </w:r>
      <w:r w:rsidR="00C43876" w:rsidRPr="00561AA8">
        <w:t xml:space="preserve"> research </w:t>
      </w:r>
      <w:r w:rsidR="00FA2413">
        <w:t>studies</w:t>
      </w:r>
      <w:r w:rsidR="00B9662D" w:rsidRPr="00561AA8">
        <w:t xml:space="preserve"> (HREC </w:t>
      </w:r>
      <w:r w:rsidR="004A3E2C" w:rsidRPr="00FA2413">
        <w:t>reviewed</w:t>
      </w:r>
      <w:r w:rsidR="00B9662D" w:rsidRPr="00FA2413">
        <w:t xml:space="preserve"> and non-HREC pathway </w:t>
      </w:r>
      <w:r w:rsidR="00FA2413">
        <w:t>studies</w:t>
      </w:r>
      <w:r w:rsidR="00B9662D" w:rsidRPr="00FA2413">
        <w:t>)</w:t>
      </w:r>
      <w:r w:rsidR="00C43876" w:rsidRPr="00FA2413">
        <w:t>, and</w:t>
      </w:r>
      <w:r w:rsidR="00B9662D" w:rsidRPr="00FA2413">
        <w:t xml:space="preserve"> quality assurance (QA) projects.</w:t>
      </w:r>
    </w:p>
    <w:p w14:paraId="1EBF64A6" w14:textId="1B21D5F2" w:rsidR="005071A9" w:rsidRPr="00E612E7" w:rsidRDefault="004A3E2C" w:rsidP="00561AA8">
      <w:pPr>
        <w:pStyle w:val="ListParagraph"/>
        <w:numPr>
          <w:ilvl w:val="0"/>
          <w:numId w:val="19"/>
        </w:numPr>
        <w:spacing w:before="120" w:after="120"/>
        <w:ind w:left="1276"/>
        <w:contextualSpacing w:val="0"/>
      </w:pPr>
      <w:r w:rsidRPr="00047BAE">
        <w:t>R</w:t>
      </w:r>
      <w:r w:rsidR="00CC054D" w:rsidRPr="00E612E7">
        <w:t xml:space="preserve">esearch and </w:t>
      </w:r>
      <w:r w:rsidR="006F6B6E" w:rsidRPr="00E612E7" w:rsidDel="006448DF">
        <w:t xml:space="preserve">clinical trial </w:t>
      </w:r>
      <w:r w:rsidR="00CC054D" w:rsidRPr="00E612E7">
        <w:t xml:space="preserve">systems and </w:t>
      </w:r>
      <w:r w:rsidR="006F6B6E" w:rsidRPr="00E612E7" w:rsidDel="006448DF">
        <w:t>processes</w:t>
      </w:r>
      <w:r w:rsidR="009B29B4">
        <w:t>.</w:t>
      </w:r>
    </w:p>
    <w:p w14:paraId="1E1D3EF7" w14:textId="39031EC0" w:rsidR="006F6B6E" w:rsidRPr="00561AA8" w:rsidRDefault="00CC054D" w:rsidP="00561AA8">
      <w:pPr>
        <w:pStyle w:val="ListParagraph"/>
        <w:numPr>
          <w:ilvl w:val="0"/>
          <w:numId w:val="19"/>
        </w:numPr>
        <w:spacing w:before="120" w:after="120"/>
        <w:ind w:left="1276"/>
        <w:contextualSpacing w:val="0"/>
      </w:pPr>
      <w:r w:rsidRPr="00E612E7">
        <w:t>T</w:t>
      </w:r>
      <w:r w:rsidRPr="00E612E7" w:rsidDel="006448DF">
        <w:t xml:space="preserve">hird party vendors </w:t>
      </w:r>
      <w:r w:rsidR="006F6B6E" w:rsidRPr="00E612E7" w:rsidDel="006448DF">
        <w:t xml:space="preserve">contracted to perform </w:t>
      </w:r>
      <w:r w:rsidRPr="003D2712">
        <w:t xml:space="preserve">research and/or </w:t>
      </w:r>
      <w:r w:rsidR="006F6B6E" w:rsidRPr="00561AA8" w:rsidDel="006448DF">
        <w:t>clinical trial activities</w:t>
      </w:r>
      <w:r w:rsidR="005071A9" w:rsidRPr="00561AA8">
        <w:t xml:space="preserve"> for Epworth</w:t>
      </w:r>
      <w:r w:rsidR="006F6B6E" w:rsidRPr="00561AA8" w:rsidDel="006448DF">
        <w:t>.</w:t>
      </w:r>
    </w:p>
    <w:p w14:paraId="1B610B98" w14:textId="45852397" w:rsidR="004A3E2C" w:rsidRPr="00561AA8" w:rsidRDefault="00B9662D" w:rsidP="00561AA8">
      <w:pPr>
        <w:pStyle w:val="ListParagraph"/>
        <w:numPr>
          <w:ilvl w:val="0"/>
          <w:numId w:val="23"/>
        </w:numPr>
        <w:spacing w:before="120" w:after="120"/>
        <w:contextualSpacing w:val="0"/>
      </w:pPr>
      <w:r w:rsidRPr="00561AA8">
        <w:t xml:space="preserve">Externally conducted </w:t>
      </w:r>
      <w:r w:rsidR="00614FFF" w:rsidRPr="00561AA8">
        <w:t xml:space="preserve">reviews, audits, and inspections </w:t>
      </w:r>
      <w:r w:rsidR="00614FFF">
        <w:t xml:space="preserve">of </w:t>
      </w:r>
      <w:r w:rsidR="004A3E2C" w:rsidRPr="00561AA8">
        <w:t>research and clinical trial</w:t>
      </w:r>
      <w:r w:rsidR="00614FFF">
        <w:t xml:space="preserve"> activity</w:t>
      </w:r>
      <w:r w:rsidR="004A3E2C" w:rsidRPr="00561AA8">
        <w:t>:</w:t>
      </w:r>
    </w:p>
    <w:p w14:paraId="7DE9A526" w14:textId="693C29AA" w:rsidR="00B9662D" w:rsidRPr="00561AA8" w:rsidRDefault="004A3E2C" w:rsidP="00561AA8">
      <w:pPr>
        <w:pStyle w:val="ListParagraph"/>
        <w:numPr>
          <w:ilvl w:val="0"/>
          <w:numId w:val="24"/>
        </w:numPr>
        <w:spacing w:before="120" w:after="120"/>
        <w:contextualSpacing w:val="0"/>
      </w:pPr>
      <w:r w:rsidRPr="00561AA8">
        <w:t xml:space="preserve">Including those </w:t>
      </w:r>
      <w:r w:rsidR="00B9662D" w:rsidRPr="00561AA8">
        <w:t>conducted by ethics committees, external sponsors, and regulatory bodies.</w:t>
      </w:r>
    </w:p>
    <w:p w14:paraId="630557F4" w14:textId="77777777" w:rsidR="004D23CA" w:rsidRPr="00561AA8" w:rsidRDefault="008249DB" w:rsidP="00561AA8">
      <w:pPr>
        <w:pStyle w:val="Heading2"/>
        <w:spacing w:before="120" w:after="120"/>
        <w:rPr>
          <w:rFonts w:asciiTheme="minorHAnsi" w:hAnsiTheme="minorHAnsi" w:cstheme="minorHAnsi"/>
        </w:rPr>
      </w:pPr>
      <w:r w:rsidRPr="00561AA8">
        <w:rPr>
          <w:rFonts w:asciiTheme="minorHAnsi" w:hAnsiTheme="minorHAnsi" w:cstheme="minorHAnsi"/>
        </w:rPr>
        <w:t>A</w:t>
      </w:r>
      <w:r w:rsidR="002356B7" w:rsidRPr="00561AA8">
        <w:rPr>
          <w:rFonts w:asciiTheme="minorHAnsi" w:hAnsiTheme="minorHAnsi" w:cstheme="minorHAnsi"/>
        </w:rPr>
        <w:t>PPLICABILITY</w:t>
      </w:r>
      <w:r w:rsidR="004D23CA" w:rsidRPr="00561AA8">
        <w:rPr>
          <w:rFonts w:asciiTheme="minorHAnsi" w:hAnsiTheme="minorHAnsi" w:cstheme="minorHAnsi"/>
        </w:rPr>
        <w:t>:</w:t>
      </w:r>
    </w:p>
    <w:p w14:paraId="4EE1FD05" w14:textId="58F45701" w:rsidR="00524CD9" w:rsidRPr="00561AA8" w:rsidRDefault="00524CD9" w:rsidP="00561AA8">
      <w:pPr>
        <w:spacing w:before="120" w:after="120"/>
      </w:pPr>
      <w:r w:rsidRPr="00561AA8">
        <w:t xml:space="preserve">This </w:t>
      </w:r>
      <w:r w:rsidR="004A3E2C" w:rsidRPr="00561AA8">
        <w:t xml:space="preserve">SOP </w:t>
      </w:r>
      <w:r w:rsidRPr="00561AA8">
        <w:t xml:space="preserve">applies to all Epworth employees, non-employed staff and Visiting Medical Officers (VMOs) and to all relevant external persons and parties engaged in the research </w:t>
      </w:r>
      <w:r w:rsidR="004A3E2C" w:rsidRPr="00561AA8">
        <w:t xml:space="preserve">or clinical trial </w:t>
      </w:r>
      <w:r w:rsidRPr="00561AA8">
        <w:t>activit</w:t>
      </w:r>
      <w:r w:rsidR="004A3E2C" w:rsidRPr="00561AA8">
        <w:t>ies</w:t>
      </w:r>
      <w:r w:rsidRPr="00561AA8">
        <w:t xml:space="preserve"> at Epworth. </w:t>
      </w:r>
    </w:p>
    <w:p w14:paraId="6EDE6774" w14:textId="0C2CEB45" w:rsidR="00BD2135" w:rsidRPr="00561AA8" w:rsidRDefault="00587D75" w:rsidP="00561AA8">
      <w:pPr>
        <w:pStyle w:val="Heading2"/>
        <w:spacing w:before="120" w:after="120"/>
        <w:rPr>
          <w:rFonts w:asciiTheme="minorHAnsi" w:hAnsiTheme="minorHAnsi" w:cstheme="minorHAnsi"/>
        </w:rPr>
      </w:pPr>
      <w:r>
        <w:rPr>
          <w:rFonts w:asciiTheme="minorHAnsi" w:hAnsiTheme="minorHAnsi" w:cstheme="minorHAnsi"/>
        </w:rPr>
        <w:t>DEFINITIONS</w:t>
      </w:r>
      <w:r w:rsidR="00BD2135" w:rsidRPr="00561AA8">
        <w:rPr>
          <w:rFonts w:asciiTheme="minorHAnsi" w:hAnsiTheme="minorHAnsi" w:cstheme="minorHAnsi"/>
        </w:rPr>
        <w:t>:</w:t>
      </w:r>
    </w:p>
    <w:p w14:paraId="1A278BCF" w14:textId="36B03F3E" w:rsidR="001F4257" w:rsidRDefault="001F4257" w:rsidP="00561AA8">
      <w:pPr>
        <w:spacing w:before="120" w:after="120"/>
      </w:pPr>
      <w:r w:rsidRPr="0095165B">
        <w:rPr>
          <w:b/>
          <w:bCs/>
        </w:rPr>
        <w:t>Audit</w:t>
      </w:r>
      <w:r>
        <w:t xml:space="preserve"> - a systematic and independent examination of trial related activities and documents to determine whether the evaluated trial</w:t>
      </w:r>
      <w:r w:rsidR="00614FFF">
        <w:t>-</w:t>
      </w:r>
      <w:r>
        <w:t>related activities were conducted, and the data were recorded, analy</w:t>
      </w:r>
      <w:r w:rsidR="001916D9">
        <w:t>s</w:t>
      </w:r>
      <w:r>
        <w:t>ed and accurately reported according to the protocol, sponsor's standard operating procedures (SOPs), Good Clinical Practice (GCP), and the applicable regulatory requirement(s) – ICH GCP 1.6</w:t>
      </w:r>
      <w:r w:rsidR="009B29B4">
        <w:t>.</w:t>
      </w:r>
    </w:p>
    <w:p w14:paraId="247F2656" w14:textId="77777777" w:rsidR="003E2B46" w:rsidRPr="00561AA8" w:rsidRDefault="003E2B46" w:rsidP="003E2B46">
      <w:pPr>
        <w:spacing w:before="120" w:after="120"/>
      </w:pPr>
      <w:r w:rsidRPr="00CA2EC3">
        <w:rPr>
          <w:b/>
          <w:bCs/>
        </w:rPr>
        <w:t xml:space="preserve">CAPA </w:t>
      </w:r>
      <w:r>
        <w:t>– Corrective and preventive actions identified to understand an event and prevent its reoccurrence. Process documented using a CAPA form.</w:t>
      </w:r>
    </w:p>
    <w:p w14:paraId="70F0D593" w14:textId="37277459" w:rsidR="003E2B46" w:rsidRPr="003E2B46" w:rsidRDefault="003E2B46" w:rsidP="00561AA8">
      <w:pPr>
        <w:spacing w:before="120" w:after="120"/>
        <w:rPr>
          <w:bCs/>
        </w:rPr>
      </w:pPr>
      <w:r>
        <w:rPr>
          <w:b/>
          <w:bCs/>
        </w:rPr>
        <w:t xml:space="preserve">CTC – </w:t>
      </w:r>
      <w:r>
        <w:rPr>
          <w:bCs/>
        </w:rPr>
        <w:t>Clinical Trial Coordinator</w:t>
      </w:r>
    </w:p>
    <w:p w14:paraId="44A3C7E4" w14:textId="38B16966" w:rsidR="0095029E" w:rsidRPr="00561AA8" w:rsidRDefault="0095029E" w:rsidP="00561AA8">
      <w:pPr>
        <w:spacing w:before="120" w:after="120"/>
      </w:pPr>
      <w:r w:rsidRPr="0095165B">
        <w:rPr>
          <w:b/>
          <w:bCs/>
        </w:rPr>
        <w:t>For</w:t>
      </w:r>
      <w:r w:rsidR="00614FFF">
        <w:rPr>
          <w:b/>
          <w:bCs/>
        </w:rPr>
        <w:t>-</w:t>
      </w:r>
      <w:r w:rsidRPr="0095165B">
        <w:rPr>
          <w:b/>
          <w:bCs/>
        </w:rPr>
        <w:t>cause audit</w:t>
      </w:r>
      <w:r w:rsidR="001F4257">
        <w:t xml:space="preserve"> - </w:t>
      </w:r>
      <w:r w:rsidR="001F4257" w:rsidRPr="00047BAE">
        <w:t>audit</w:t>
      </w:r>
      <w:r w:rsidR="001F4257">
        <w:t xml:space="preserve"> of a study selected because a complaint, non-compliance, adverse event or other specific issue.</w:t>
      </w:r>
    </w:p>
    <w:p w14:paraId="39CCDDB8" w14:textId="2D0D8357" w:rsidR="003E2B46" w:rsidRDefault="003E2B46" w:rsidP="00561AA8">
      <w:pPr>
        <w:spacing w:before="120" w:after="120"/>
        <w:rPr>
          <w:b/>
          <w:bCs/>
        </w:rPr>
      </w:pPr>
      <w:r>
        <w:rPr>
          <w:b/>
          <w:bCs/>
        </w:rPr>
        <w:lastRenderedPageBreak/>
        <w:t xml:space="preserve">GCP – </w:t>
      </w:r>
      <w:r w:rsidRPr="003E2B46">
        <w:rPr>
          <w:bCs/>
        </w:rPr>
        <w:t>Good Clinical Practice</w:t>
      </w:r>
      <w:r>
        <w:rPr>
          <w:b/>
          <w:bCs/>
        </w:rPr>
        <w:t xml:space="preserve"> </w:t>
      </w:r>
    </w:p>
    <w:p w14:paraId="628D0723" w14:textId="7204B627" w:rsidR="003E2B46" w:rsidRDefault="003E2B46" w:rsidP="00561AA8">
      <w:pPr>
        <w:spacing w:before="120" w:after="120"/>
        <w:rPr>
          <w:b/>
          <w:bCs/>
        </w:rPr>
      </w:pPr>
      <w:proofErr w:type="spellStart"/>
      <w:r>
        <w:rPr>
          <w:b/>
          <w:bCs/>
        </w:rPr>
        <w:t>OfR</w:t>
      </w:r>
      <w:proofErr w:type="spellEnd"/>
      <w:r>
        <w:rPr>
          <w:b/>
          <w:bCs/>
        </w:rPr>
        <w:t xml:space="preserve"> – </w:t>
      </w:r>
      <w:r w:rsidRPr="003E2B46">
        <w:rPr>
          <w:bCs/>
        </w:rPr>
        <w:t>Office for Research</w:t>
      </w:r>
    </w:p>
    <w:p w14:paraId="52C43F3E" w14:textId="632F00B2" w:rsidR="0095029E" w:rsidRDefault="0095029E" w:rsidP="00561AA8">
      <w:pPr>
        <w:spacing w:before="120" w:after="120"/>
      </w:pPr>
      <w:r w:rsidRPr="0095165B">
        <w:rPr>
          <w:b/>
          <w:bCs/>
        </w:rPr>
        <w:t>On-site audit</w:t>
      </w:r>
      <w:r w:rsidR="001F4257">
        <w:t xml:space="preserve"> – </w:t>
      </w:r>
      <w:r w:rsidR="001F4257" w:rsidRPr="00047BAE">
        <w:t>audit</w:t>
      </w:r>
      <w:r w:rsidR="001F4257">
        <w:t xml:space="preserve"> of a study</w:t>
      </w:r>
      <w:r w:rsidR="001F4257" w:rsidRPr="00E612E7">
        <w:t xml:space="preserve"> conducted by </w:t>
      </w:r>
      <w:proofErr w:type="spellStart"/>
      <w:r w:rsidR="006D47B9">
        <w:t>O</w:t>
      </w:r>
      <w:r w:rsidR="000E5477">
        <w:t>f</w:t>
      </w:r>
      <w:r w:rsidR="006D47B9">
        <w:t>R</w:t>
      </w:r>
      <w:proofErr w:type="spellEnd"/>
      <w:r w:rsidR="001F4257" w:rsidRPr="00E612E7">
        <w:t xml:space="preserve"> staff</w:t>
      </w:r>
      <w:r w:rsidR="001F4257">
        <w:t>.</w:t>
      </w:r>
    </w:p>
    <w:p w14:paraId="0992EBD0" w14:textId="16F408C5" w:rsidR="001F4257" w:rsidRDefault="001F4257" w:rsidP="00561AA8">
      <w:pPr>
        <w:spacing w:before="120" w:after="120"/>
      </w:pPr>
      <w:r w:rsidRPr="0095165B">
        <w:rPr>
          <w:b/>
          <w:bCs/>
        </w:rPr>
        <w:t>Procedural audit</w:t>
      </w:r>
      <w:r>
        <w:t xml:space="preserve"> - </w:t>
      </w:r>
      <w:r w:rsidRPr="00047BAE">
        <w:t>audit</w:t>
      </w:r>
      <w:r>
        <w:t xml:space="preserve"> of a process or procedure.</w:t>
      </w:r>
    </w:p>
    <w:p w14:paraId="44580BB7" w14:textId="7172C004" w:rsidR="001F4257" w:rsidRPr="00561AA8" w:rsidRDefault="001F4257" w:rsidP="001F4257">
      <w:pPr>
        <w:spacing w:before="120" w:after="120"/>
      </w:pPr>
      <w:r w:rsidRPr="00CA2EC3">
        <w:rPr>
          <w:b/>
          <w:bCs/>
        </w:rPr>
        <w:t>Random audit</w:t>
      </w:r>
      <w:r>
        <w:t xml:space="preserve">- </w:t>
      </w:r>
      <w:r w:rsidRPr="00047BAE">
        <w:t>audit</w:t>
      </w:r>
      <w:r>
        <w:t xml:space="preserve"> of a study selected on standard risk-based criteria and not selected as a result of a complaint, non-compliance, adverse event or other specific issue.</w:t>
      </w:r>
    </w:p>
    <w:p w14:paraId="0CE92FB6" w14:textId="1D3AA5D3" w:rsidR="001F4257" w:rsidRPr="00561AA8" w:rsidRDefault="0095029E" w:rsidP="001F4257">
      <w:pPr>
        <w:spacing w:before="120" w:after="120"/>
      </w:pPr>
      <w:r w:rsidRPr="00CA2EC3">
        <w:rPr>
          <w:b/>
          <w:bCs/>
        </w:rPr>
        <w:t>Self</w:t>
      </w:r>
      <w:r w:rsidR="00242B46" w:rsidRPr="00CA2EC3">
        <w:rPr>
          <w:b/>
          <w:bCs/>
        </w:rPr>
        <w:t>-</w:t>
      </w:r>
      <w:r w:rsidRPr="00CA2EC3">
        <w:rPr>
          <w:b/>
          <w:bCs/>
        </w:rPr>
        <w:t>audit</w:t>
      </w:r>
      <w:r w:rsidR="001F4257">
        <w:t xml:space="preserve"> – a</w:t>
      </w:r>
      <w:r w:rsidR="001F4257" w:rsidRPr="00561AA8">
        <w:t>udit</w:t>
      </w:r>
      <w:r w:rsidR="001F4257">
        <w:t xml:space="preserve"> of a study</w:t>
      </w:r>
      <w:r w:rsidR="001F4257" w:rsidRPr="00561AA8">
        <w:t xml:space="preserve"> conducted by the study team </w:t>
      </w:r>
      <w:r w:rsidR="001F4257">
        <w:t xml:space="preserve">by completion of the audit tool </w:t>
      </w:r>
      <w:r w:rsidR="001F4257" w:rsidRPr="00561AA8">
        <w:t xml:space="preserve">and returned to the </w:t>
      </w:r>
      <w:proofErr w:type="spellStart"/>
      <w:r w:rsidR="006D47B9">
        <w:t>O</w:t>
      </w:r>
      <w:r w:rsidR="000E5477">
        <w:t>f</w:t>
      </w:r>
      <w:r w:rsidR="006D47B9">
        <w:t>R</w:t>
      </w:r>
      <w:proofErr w:type="spellEnd"/>
      <w:r w:rsidR="001F4257" w:rsidRPr="00561AA8">
        <w:t>.</w:t>
      </w:r>
    </w:p>
    <w:p w14:paraId="1676F32D" w14:textId="6BDFAB68" w:rsidR="00614FFF" w:rsidRDefault="001F4257" w:rsidP="00561AA8">
      <w:pPr>
        <w:spacing w:before="120" w:after="120"/>
      </w:pPr>
      <w:r w:rsidRPr="00CA2EC3">
        <w:rPr>
          <w:b/>
          <w:bCs/>
        </w:rPr>
        <w:t>Themed audit</w:t>
      </w:r>
      <w:r>
        <w:t xml:space="preserve"> – audit of a series of studies</w:t>
      </w:r>
      <w:r w:rsidR="0095165B">
        <w:t xml:space="preserve"> (or parts thereof)</w:t>
      </w:r>
      <w:r>
        <w:t xml:space="preserve"> </w:t>
      </w:r>
      <w:r w:rsidR="0095165B">
        <w:t>or processes related to a common theme.</w:t>
      </w:r>
    </w:p>
    <w:p w14:paraId="7EBFB581" w14:textId="1BA31877" w:rsidR="001916D9" w:rsidRDefault="001916D9" w:rsidP="00561AA8">
      <w:pPr>
        <w:spacing w:before="120" w:after="120"/>
      </w:pPr>
      <w:r w:rsidRPr="003E2B46">
        <w:rPr>
          <w:b/>
        </w:rPr>
        <w:t>VMO</w:t>
      </w:r>
      <w:r>
        <w:t xml:space="preserve"> - </w:t>
      </w:r>
      <w:r w:rsidRPr="00561AA8">
        <w:t>Visiting Medical Officers</w:t>
      </w:r>
    </w:p>
    <w:p w14:paraId="0AA7F0C7" w14:textId="4F00C703" w:rsidR="00420386" w:rsidRPr="00561AA8" w:rsidRDefault="002356B7" w:rsidP="00561AA8">
      <w:pPr>
        <w:pStyle w:val="Heading2"/>
        <w:spacing w:before="120" w:after="120"/>
        <w:rPr>
          <w:rFonts w:asciiTheme="minorHAnsi" w:hAnsiTheme="minorHAnsi" w:cstheme="minorHAnsi"/>
        </w:rPr>
      </w:pPr>
      <w:r w:rsidRPr="00561AA8">
        <w:rPr>
          <w:rFonts w:asciiTheme="minorHAnsi" w:hAnsiTheme="minorHAnsi" w:cstheme="minorHAnsi"/>
        </w:rPr>
        <w:t>PROCEDURE</w:t>
      </w:r>
      <w:r w:rsidR="004D23CA" w:rsidRPr="00561AA8">
        <w:rPr>
          <w:rFonts w:asciiTheme="minorHAnsi" w:hAnsiTheme="minorHAnsi" w:cstheme="minorHAnsi"/>
        </w:rPr>
        <w:t>:</w:t>
      </w:r>
    </w:p>
    <w:p w14:paraId="5B06401D" w14:textId="49828F48" w:rsidR="004E169B" w:rsidRPr="00561AA8" w:rsidRDefault="004E169B" w:rsidP="00561AA8">
      <w:pPr>
        <w:spacing w:before="120" w:after="120"/>
      </w:pPr>
      <w:r w:rsidRPr="00561AA8">
        <w:t xml:space="preserve">The procedure includes information </w:t>
      </w:r>
      <w:r w:rsidR="00242B46" w:rsidRPr="00561AA8">
        <w:t>on</w:t>
      </w:r>
      <w:r w:rsidRPr="00561AA8">
        <w:t>:</w:t>
      </w:r>
    </w:p>
    <w:p w14:paraId="4E896482" w14:textId="6DF85E79" w:rsidR="004E169B" w:rsidRPr="00561AA8" w:rsidRDefault="004E169B" w:rsidP="00561AA8">
      <w:pPr>
        <w:pStyle w:val="ListParagraph"/>
        <w:numPr>
          <w:ilvl w:val="0"/>
          <w:numId w:val="24"/>
        </w:numPr>
        <w:spacing w:before="120" w:after="120"/>
        <w:ind w:left="993"/>
        <w:contextualSpacing w:val="0"/>
      </w:pPr>
      <w:r w:rsidRPr="00561AA8">
        <w:t xml:space="preserve">When to provide information to the </w:t>
      </w:r>
      <w:proofErr w:type="spellStart"/>
      <w:r w:rsidR="006D47B9">
        <w:t>O</w:t>
      </w:r>
      <w:r w:rsidR="000E5477">
        <w:t>f</w:t>
      </w:r>
      <w:r w:rsidR="006D47B9">
        <w:t>R</w:t>
      </w:r>
      <w:proofErr w:type="spellEnd"/>
      <w:r w:rsidRPr="00561AA8">
        <w:t xml:space="preserve"> after external reviews, audits and inspection of research and clinical trials are conducted.</w:t>
      </w:r>
    </w:p>
    <w:p w14:paraId="551EA6A7" w14:textId="6C4D4B74" w:rsidR="004E169B" w:rsidRPr="00561AA8" w:rsidRDefault="004E169B" w:rsidP="00561AA8">
      <w:pPr>
        <w:pStyle w:val="ListParagraph"/>
        <w:numPr>
          <w:ilvl w:val="0"/>
          <w:numId w:val="24"/>
        </w:numPr>
        <w:spacing w:before="120" w:after="120"/>
        <w:ind w:left="993"/>
        <w:contextualSpacing w:val="0"/>
      </w:pPr>
      <w:r w:rsidRPr="00561AA8">
        <w:t xml:space="preserve">Elements and processes of quality assurance activities conducted by the </w:t>
      </w:r>
      <w:proofErr w:type="spellStart"/>
      <w:r w:rsidR="006D47B9">
        <w:t>O</w:t>
      </w:r>
      <w:r w:rsidR="000E5477">
        <w:t>f</w:t>
      </w:r>
      <w:r w:rsidR="006D47B9">
        <w:t>R</w:t>
      </w:r>
      <w:proofErr w:type="spellEnd"/>
      <w:r w:rsidRPr="00561AA8">
        <w:t xml:space="preserve"> including defining the annual schedule, planning, preparation, conduct, reporting of outcomes to teams, foll</w:t>
      </w:r>
      <w:r w:rsidRPr="00ED0AFF">
        <w:t>ow-up and CAPA</w:t>
      </w:r>
      <w:r w:rsidRPr="00561AA8">
        <w:t>, organisational reporting.</w:t>
      </w:r>
    </w:p>
    <w:p w14:paraId="65598EF7" w14:textId="6C5498F3" w:rsidR="004A3E2C" w:rsidRPr="00561AA8" w:rsidRDefault="004A3E2C" w:rsidP="00561AA8">
      <w:pPr>
        <w:pStyle w:val="Heading3"/>
        <w:spacing w:before="120" w:after="120"/>
        <w:rPr>
          <w:rFonts w:cstheme="minorHAnsi"/>
        </w:rPr>
      </w:pPr>
      <w:r w:rsidRPr="00561AA8">
        <w:rPr>
          <w:rFonts w:cstheme="minorHAnsi"/>
        </w:rPr>
        <w:t xml:space="preserve">5.1 </w:t>
      </w:r>
      <w:r w:rsidR="000A495D" w:rsidRPr="00561AA8">
        <w:rPr>
          <w:rFonts w:cstheme="minorHAnsi"/>
        </w:rPr>
        <w:t xml:space="preserve">Reporting </w:t>
      </w:r>
      <w:r w:rsidRPr="00561AA8">
        <w:rPr>
          <w:rFonts w:cstheme="minorHAnsi"/>
        </w:rPr>
        <w:t xml:space="preserve">External </w:t>
      </w:r>
      <w:r w:rsidR="000A495D" w:rsidRPr="00561AA8">
        <w:rPr>
          <w:rFonts w:cstheme="minorHAnsi"/>
        </w:rPr>
        <w:t xml:space="preserve">Quality Activities to the </w:t>
      </w:r>
      <w:proofErr w:type="spellStart"/>
      <w:r w:rsidR="006D47B9">
        <w:rPr>
          <w:rFonts w:cstheme="minorHAnsi"/>
        </w:rPr>
        <w:t>O</w:t>
      </w:r>
      <w:r w:rsidR="000E5477">
        <w:rPr>
          <w:rFonts w:cstheme="minorHAnsi"/>
        </w:rPr>
        <w:t>f</w:t>
      </w:r>
      <w:r w:rsidR="006D47B9">
        <w:rPr>
          <w:rFonts w:cstheme="minorHAnsi"/>
        </w:rPr>
        <w:t>R</w:t>
      </w:r>
      <w:proofErr w:type="spellEnd"/>
    </w:p>
    <w:p w14:paraId="79BB924E" w14:textId="519C5E8F" w:rsidR="000A495D" w:rsidRPr="00047BAE" w:rsidRDefault="00E865B9" w:rsidP="00561AA8">
      <w:pPr>
        <w:spacing w:before="120" w:after="120"/>
      </w:pPr>
      <w:r w:rsidRPr="00561AA8">
        <w:t xml:space="preserve">5.1.1 </w:t>
      </w:r>
      <w:r w:rsidR="000A495D" w:rsidRPr="00561AA8">
        <w:t xml:space="preserve">External Quality Activities including external audits and inspection of </w:t>
      </w:r>
      <w:r w:rsidR="00B83151">
        <w:t>studie</w:t>
      </w:r>
      <w:r w:rsidR="000A495D" w:rsidRPr="00561AA8">
        <w:t xml:space="preserve">s conducted at the Epworth may be undertaken the sponsor, the Human Research Ethics Committees, or a regulatory body. </w:t>
      </w:r>
    </w:p>
    <w:p w14:paraId="1948364F" w14:textId="047C8D34" w:rsidR="004A3E2C" w:rsidRPr="00E612E7" w:rsidRDefault="000A495D" w:rsidP="00561AA8">
      <w:pPr>
        <w:spacing w:before="120" w:after="120"/>
      </w:pPr>
      <w:r w:rsidRPr="00E612E7">
        <w:t xml:space="preserve">5.1.2 </w:t>
      </w:r>
      <w:r w:rsidR="00E865B9" w:rsidRPr="00E612E7">
        <w:t xml:space="preserve">The study team </w:t>
      </w:r>
      <w:r w:rsidRPr="00E612E7">
        <w:t>should provide</w:t>
      </w:r>
      <w:r w:rsidR="00E865B9" w:rsidRPr="00E612E7">
        <w:t xml:space="preserve"> reports</w:t>
      </w:r>
      <w:r w:rsidR="00471DA0" w:rsidRPr="00E612E7">
        <w:t xml:space="preserve"> and information on CAPAs or other subsequent improvements</w:t>
      </w:r>
      <w:r w:rsidR="00E865B9" w:rsidRPr="00E612E7">
        <w:t xml:space="preserve"> resulting from external</w:t>
      </w:r>
      <w:r w:rsidR="00E865B9" w:rsidRPr="003D2712">
        <w:t xml:space="preserve"> reviews, audits and inspection of </w:t>
      </w:r>
      <w:r w:rsidR="00B83151">
        <w:t>studie</w:t>
      </w:r>
      <w:r w:rsidR="00471DA0" w:rsidRPr="00B83151">
        <w:t>s</w:t>
      </w:r>
      <w:r w:rsidR="00E865B9" w:rsidRPr="00B83151">
        <w:t xml:space="preserve"> to the </w:t>
      </w:r>
      <w:proofErr w:type="spellStart"/>
      <w:r w:rsidR="006D47B9">
        <w:t>O</w:t>
      </w:r>
      <w:r w:rsidR="000E5477">
        <w:t>f</w:t>
      </w:r>
      <w:r w:rsidR="006D47B9">
        <w:t>R</w:t>
      </w:r>
      <w:proofErr w:type="spellEnd"/>
      <w:r w:rsidR="00E865B9" w:rsidRPr="00B83151">
        <w:t xml:space="preserve"> in a timely manner</w:t>
      </w:r>
      <w:r w:rsidR="004E169B" w:rsidRPr="00047BAE">
        <w:t>.</w:t>
      </w:r>
    </w:p>
    <w:p w14:paraId="0756770C" w14:textId="3941BF29" w:rsidR="00E865B9" w:rsidRPr="00561AA8" w:rsidRDefault="00E865B9" w:rsidP="00561AA8">
      <w:pPr>
        <w:spacing w:before="120" w:after="120"/>
      </w:pPr>
      <w:r w:rsidRPr="00E612E7">
        <w:t>5.1.</w:t>
      </w:r>
      <w:r w:rsidR="000A495D" w:rsidRPr="00E612E7">
        <w:t>3</w:t>
      </w:r>
      <w:r w:rsidRPr="00E612E7">
        <w:t xml:space="preserve"> The </w:t>
      </w:r>
      <w:proofErr w:type="spellStart"/>
      <w:r w:rsidR="006D47B9">
        <w:t>O</w:t>
      </w:r>
      <w:r w:rsidR="000E5477">
        <w:t>f</w:t>
      </w:r>
      <w:r w:rsidR="006D47B9">
        <w:t>R</w:t>
      </w:r>
      <w:proofErr w:type="spellEnd"/>
      <w:r w:rsidR="00471DA0" w:rsidRPr="00E612E7">
        <w:t xml:space="preserve"> will</w:t>
      </w:r>
      <w:r w:rsidRPr="00E612E7">
        <w:t xml:space="preserve"> maintain a log of externally conducted reviews, audits and inspection</w:t>
      </w:r>
      <w:r w:rsidRPr="003D2712">
        <w:t>s</w:t>
      </w:r>
      <w:r w:rsidRPr="00561AA8">
        <w:t>.</w:t>
      </w:r>
    </w:p>
    <w:p w14:paraId="0A6BFF23" w14:textId="2A4F555F" w:rsidR="004A3E2C" w:rsidRPr="00561AA8" w:rsidRDefault="00E865B9" w:rsidP="00561AA8">
      <w:pPr>
        <w:spacing w:before="120" w:after="120"/>
      </w:pPr>
      <w:r w:rsidRPr="00561AA8">
        <w:t>5.1.</w:t>
      </w:r>
      <w:r w:rsidR="000A495D" w:rsidRPr="00561AA8">
        <w:t>4</w:t>
      </w:r>
      <w:r w:rsidRPr="00561AA8">
        <w:t xml:space="preserve"> The </w:t>
      </w:r>
      <w:proofErr w:type="spellStart"/>
      <w:r w:rsidR="006D47B9">
        <w:t>O</w:t>
      </w:r>
      <w:r w:rsidR="000E5477">
        <w:t>f</w:t>
      </w:r>
      <w:r w:rsidR="006D47B9">
        <w:t>R</w:t>
      </w:r>
      <w:proofErr w:type="spellEnd"/>
      <w:r w:rsidRPr="00561AA8">
        <w:t xml:space="preserve"> will periodically</w:t>
      </w:r>
      <w:r w:rsidR="000A495D" w:rsidRPr="00561AA8">
        <w:t xml:space="preserve"> analyse </w:t>
      </w:r>
      <w:r w:rsidR="00471DA0" w:rsidRPr="00561AA8">
        <w:t xml:space="preserve">and report on </w:t>
      </w:r>
      <w:r w:rsidRPr="00561AA8">
        <w:t xml:space="preserve">the </w:t>
      </w:r>
      <w:r w:rsidR="004E169B" w:rsidRPr="00561AA8">
        <w:t xml:space="preserve">collected </w:t>
      </w:r>
      <w:r w:rsidR="000A495D" w:rsidRPr="00561AA8">
        <w:t xml:space="preserve">reports and </w:t>
      </w:r>
      <w:r w:rsidR="004E169B" w:rsidRPr="00561AA8">
        <w:t>data</w:t>
      </w:r>
      <w:r w:rsidR="000A495D" w:rsidRPr="00561AA8">
        <w:t xml:space="preserve"> to identify common outcomes and trends.</w:t>
      </w:r>
    </w:p>
    <w:p w14:paraId="029ADE1E" w14:textId="408AF04F" w:rsidR="00471DA0" w:rsidRPr="00561AA8" w:rsidRDefault="00471DA0" w:rsidP="00561AA8">
      <w:pPr>
        <w:spacing w:before="120" w:after="120"/>
      </w:pPr>
      <w:r w:rsidRPr="00561AA8">
        <w:t xml:space="preserve">5.1.5 Where quality improvement and/or education learnings are identified, the </w:t>
      </w:r>
      <w:proofErr w:type="spellStart"/>
      <w:r w:rsidR="006D47B9">
        <w:t>O</w:t>
      </w:r>
      <w:r w:rsidR="000E5477">
        <w:t>f</w:t>
      </w:r>
      <w:r w:rsidR="006D47B9">
        <w:t>R</w:t>
      </w:r>
      <w:proofErr w:type="spellEnd"/>
      <w:r w:rsidRPr="00561AA8">
        <w:t xml:space="preserve"> will liaise with internal and external stakeholders to prepare/update processes and information as necessary.</w:t>
      </w:r>
    </w:p>
    <w:p w14:paraId="3A241DA0" w14:textId="2D31D586" w:rsidR="003E2B46" w:rsidRPr="001916D9" w:rsidRDefault="00471DA0" w:rsidP="003E2B46">
      <w:pPr>
        <w:pStyle w:val="Heading3"/>
        <w:spacing w:before="120" w:after="120"/>
        <w:rPr>
          <w:rFonts w:cstheme="minorHAnsi"/>
          <w:b w:val="0"/>
          <w:color w:val="auto"/>
          <w:u w:val="none"/>
        </w:rPr>
      </w:pPr>
      <w:r w:rsidRPr="003E2B46">
        <w:rPr>
          <w:b w:val="0"/>
          <w:color w:val="auto"/>
          <w:u w:val="none"/>
        </w:rPr>
        <w:t xml:space="preserve">5.1.6 The </w:t>
      </w:r>
      <w:proofErr w:type="spellStart"/>
      <w:r w:rsidR="006D47B9" w:rsidRPr="003E2B46">
        <w:rPr>
          <w:b w:val="0"/>
          <w:color w:val="auto"/>
          <w:u w:val="none"/>
        </w:rPr>
        <w:t>O</w:t>
      </w:r>
      <w:r w:rsidR="000E5477">
        <w:rPr>
          <w:b w:val="0"/>
          <w:color w:val="auto"/>
          <w:u w:val="none"/>
        </w:rPr>
        <w:t>f</w:t>
      </w:r>
      <w:r w:rsidR="006D47B9" w:rsidRPr="003E2B46">
        <w:rPr>
          <w:b w:val="0"/>
          <w:color w:val="auto"/>
          <w:u w:val="none"/>
        </w:rPr>
        <w:t>R</w:t>
      </w:r>
      <w:proofErr w:type="spellEnd"/>
      <w:r w:rsidRPr="003E2B46">
        <w:rPr>
          <w:b w:val="0"/>
          <w:color w:val="auto"/>
          <w:u w:val="none"/>
        </w:rPr>
        <w:t xml:space="preserve"> will disseminate the quality improvement and/or education learnings to researchers and research teams and report teams as outlined </w:t>
      </w:r>
      <w:r w:rsidR="001916D9">
        <w:rPr>
          <w:rFonts w:cstheme="minorHAnsi"/>
          <w:b w:val="0"/>
          <w:color w:val="auto"/>
          <w:u w:val="none"/>
        </w:rPr>
        <w:t>in 5.</w:t>
      </w:r>
      <w:r w:rsidR="00C47068">
        <w:rPr>
          <w:rFonts w:cstheme="minorHAnsi"/>
          <w:b w:val="0"/>
          <w:color w:val="auto"/>
          <w:u w:val="none"/>
        </w:rPr>
        <w:t>7</w:t>
      </w:r>
      <w:r w:rsidR="001916D9">
        <w:rPr>
          <w:rFonts w:cstheme="minorHAnsi"/>
          <w:b w:val="0"/>
          <w:color w:val="auto"/>
          <w:u w:val="none"/>
        </w:rPr>
        <w:t xml:space="preserve"> </w:t>
      </w:r>
      <w:r w:rsidR="003E2B46" w:rsidRPr="001916D9">
        <w:rPr>
          <w:rFonts w:cstheme="minorHAnsi"/>
          <w:b w:val="0"/>
          <w:color w:val="auto"/>
          <w:u w:val="none"/>
        </w:rPr>
        <w:t>Reporting Audit outcomes</w:t>
      </w:r>
      <w:r w:rsidR="00C47068">
        <w:rPr>
          <w:rFonts w:cstheme="minorHAnsi"/>
          <w:b w:val="0"/>
          <w:color w:val="auto"/>
          <w:u w:val="none"/>
        </w:rPr>
        <w:t>.</w:t>
      </w:r>
    </w:p>
    <w:p w14:paraId="2FB1B2B9" w14:textId="3E66B9B8" w:rsidR="00471DA0" w:rsidRPr="00561AA8" w:rsidRDefault="00471DA0" w:rsidP="00561AA8">
      <w:pPr>
        <w:spacing w:before="120" w:after="120"/>
      </w:pPr>
    </w:p>
    <w:p w14:paraId="50ACD391" w14:textId="704AB075" w:rsidR="004A3E2C" w:rsidRPr="00F160AC" w:rsidRDefault="004F2DB7" w:rsidP="00561AA8">
      <w:pPr>
        <w:pStyle w:val="Heading3"/>
        <w:spacing w:before="120" w:after="120"/>
        <w:rPr>
          <w:rFonts w:cstheme="minorHAnsi"/>
        </w:rPr>
      </w:pPr>
      <w:r w:rsidRPr="00F160AC">
        <w:rPr>
          <w:rFonts w:cstheme="minorHAnsi"/>
        </w:rPr>
        <w:t>5.</w:t>
      </w:r>
      <w:r w:rsidR="004A3E2C" w:rsidRPr="00F160AC">
        <w:rPr>
          <w:rFonts w:cstheme="minorHAnsi"/>
        </w:rPr>
        <w:t xml:space="preserve">2 </w:t>
      </w:r>
      <w:r w:rsidR="000A495D" w:rsidRPr="00F160AC">
        <w:rPr>
          <w:rFonts w:cstheme="minorHAnsi"/>
        </w:rPr>
        <w:t xml:space="preserve">Conduct of </w:t>
      </w:r>
      <w:r w:rsidR="004A3E2C" w:rsidRPr="00F160AC">
        <w:rPr>
          <w:rFonts w:cstheme="minorHAnsi"/>
        </w:rPr>
        <w:t>Internal Audits</w:t>
      </w:r>
    </w:p>
    <w:p w14:paraId="6EE4CDC7" w14:textId="74FD16F9" w:rsidR="00242B46" w:rsidRPr="00561AA8" w:rsidRDefault="004A3E2C" w:rsidP="00561AA8">
      <w:pPr>
        <w:spacing w:before="120" w:after="120"/>
      </w:pPr>
      <w:r w:rsidRPr="00561AA8">
        <w:t>In compliance with the International Conference on Harmonisation Good Clinical Practice (ICH GCP) guidelines</w:t>
      </w:r>
      <w:r w:rsidRPr="00561AA8">
        <w:rPr>
          <w:vertAlign w:val="superscript"/>
        </w:rPr>
        <w:t>1</w:t>
      </w:r>
      <w:r w:rsidRPr="00561AA8">
        <w:t xml:space="preserve"> (hereafter referred to as GCP), audits performed by Epworth HealthCare will</w:t>
      </w:r>
      <w:r w:rsidR="00242B46" w:rsidRPr="00561AA8">
        <w:t>:</w:t>
      </w:r>
    </w:p>
    <w:p w14:paraId="2A637EDB" w14:textId="227704F8" w:rsidR="00242B46" w:rsidRPr="00561AA8" w:rsidRDefault="00242B46" w:rsidP="00561AA8">
      <w:pPr>
        <w:pStyle w:val="ListParagraph"/>
        <w:numPr>
          <w:ilvl w:val="0"/>
          <w:numId w:val="29"/>
        </w:numPr>
        <w:spacing w:before="120" w:after="120"/>
        <w:contextualSpacing w:val="0"/>
      </w:pPr>
      <w:r w:rsidRPr="00561AA8">
        <w:t xml:space="preserve">be </w:t>
      </w:r>
      <w:r w:rsidR="004A3E2C" w:rsidRPr="00561AA8">
        <w:t>systematic</w:t>
      </w:r>
      <w:r w:rsidRPr="00561AA8">
        <w:t>, risk based,</w:t>
      </w:r>
      <w:r w:rsidR="004A3E2C" w:rsidRPr="00561AA8">
        <w:t xml:space="preserve"> and independent examination of </w:t>
      </w:r>
      <w:r w:rsidRPr="00561AA8">
        <w:t>study</w:t>
      </w:r>
      <w:r w:rsidR="004A3E2C" w:rsidRPr="00561AA8">
        <w:t>-related activities and documents</w:t>
      </w:r>
      <w:r w:rsidR="009B29B4">
        <w:t>.</w:t>
      </w:r>
      <w:bookmarkStart w:id="0" w:name="_GoBack"/>
      <w:bookmarkEnd w:id="0"/>
    </w:p>
    <w:p w14:paraId="0BC0E82F" w14:textId="0C312EA6" w:rsidR="004A3E2C" w:rsidRPr="00561AA8" w:rsidRDefault="00242B46" w:rsidP="00561AA8">
      <w:pPr>
        <w:pStyle w:val="ListParagraph"/>
        <w:numPr>
          <w:ilvl w:val="0"/>
          <w:numId w:val="29"/>
        </w:numPr>
        <w:spacing w:before="120" w:after="120"/>
        <w:contextualSpacing w:val="0"/>
      </w:pPr>
      <w:r w:rsidRPr="00561AA8">
        <w:lastRenderedPageBreak/>
        <w:t>Aim to establish</w:t>
      </w:r>
      <w:r w:rsidR="004A3E2C" w:rsidRPr="00561AA8">
        <w:t xml:space="preserve"> whether the evaluated </w:t>
      </w:r>
      <w:r w:rsidRPr="00561AA8">
        <w:t>study</w:t>
      </w:r>
      <w:r w:rsidR="004A3E2C" w:rsidRPr="00561AA8">
        <w:t xml:space="preserve"> related activities were conducted, and the data recorded, analysed and accurately reported according to the protocol, Epworth procedures and policies, GCP and applicable regulatory requirements.</w:t>
      </w:r>
    </w:p>
    <w:p w14:paraId="3DAE4D6B" w14:textId="000A5C80" w:rsidR="006448DF" w:rsidRPr="00F160AC" w:rsidRDefault="004A3E2C" w:rsidP="00561AA8">
      <w:pPr>
        <w:pStyle w:val="Heading3"/>
        <w:spacing w:before="120" w:after="120"/>
        <w:rPr>
          <w:rFonts w:cstheme="minorHAnsi"/>
        </w:rPr>
      </w:pPr>
      <w:r w:rsidRPr="00F160AC">
        <w:rPr>
          <w:rFonts w:cstheme="minorHAnsi"/>
        </w:rPr>
        <w:t xml:space="preserve">5.2.1 </w:t>
      </w:r>
      <w:r w:rsidR="00B354F1" w:rsidRPr="00F160AC">
        <w:rPr>
          <w:rFonts w:cstheme="minorHAnsi"/>
        </w:rPr>
        <w:t xml:space="preserve">Annual </w:t>
      </w:r>
      <w:r w:rsidR="006448DF" w:rsidRPr="00F160AC">
        <w:rPr>
          <w:rFonts w:cstheme="minorHAnsi"/>
        </w:rPr>
        <w:t xml:space="preserve">Audit </w:t>
      </w:r>
      <w:r w:rsidR="00E865B9" w:rsidRPr="00F160AC">
        <w:rPr>
          <w:rFonts w:cstheme="minorHAnsi"/>
        </w:rPr>
        <w:t>S</w:t>
      </w:r>
      <w:r w:rsidR="006448DF" w:rsidRPr="00F160AC">
        <w:rPr>
          <w:rFonts w:cstheme="minorHAnsi"/>
        </w:rPr>
        <w:t>chedule</w:t>
      </w:r>
    </w:p>
    <w:p w14:paraId="3940F797" w14:textId="6BD952D0" w:rsidR="005071A9" w:rsidRPr="00E612E7" w:rsidRDefault="006448DF" w:rsidP="00561AA8">
      <w:pPr>
        <w:spacing w:before="120" w:after="120"/>
      </w:pPr>
      <w:r w:rsidRPr="00561AA8">
        <w:t xml:space="preserve">The </w:t>
      </w:r>
      <w:proofErr w:type="spellStart"/>
      <w:r w:rsidR="006D47B9">
        <w:t>O</w:t>
      </w:r>
      <w:r w:rsidR="000E5477">
        <w:t>f</w:t>
      </w:r>
      <w:r w:rsidR="006D47B9">
        <w:t>R</w:t>
      </w:r>
      <w:proofErr w:type="spellEnd"/>
      <w:r w:rsidRPr="00561AA8">
        <w:t xml:space="preserve"> will conduct </w:t>
      </w:r>
      <w:r w:rsidR="00B83151">
        <w:t>study</w:t>
      </w:r>
      <w:r w:rsidR="005071A9" w:rsidRPr="00B83151">
        <w:t xml:space="preserve"> </w:t>
      </w:r>
      <w:r w:rsidRPr="00B83151">
        <w:t>audits</w:t>
      </w:r>
      <w:r w:rsidR="005071A9" w:rsidRPr="00B83151">
        <w:t xml:space="preserve"> </w:t>
      </w:r>
      <w:r w:rsidR="00CC054D" w:rsidRPr="00B83151">
        <w:t>according to</w:t>
      </w:r>
      <w:r w:rsidR="005071A9" w:rsidRPr="00B83151">
        <w:t xml:space="preserve"> this SOP and the a</w:t>
      </w:r>
      <w:r w:rsidRPr="00B83151">
        <w:t xml:space="preserve">nnual </w:t>
      </w:r>
      <w:r w:rsidR="001E34E0" w:rsidRPr="00B83151">
        <w:t>Audit Plan</w:t>
      </w:r>
      <w:r w:rsidRPr="00B83151">
        <w:t xml:space="preserve"> </w:t>
      </w:r>
      <w:r w:rsidR="005071A9" w:rsidRPr="00B83151">
        <w:t>provided i</w:t>
      </w:r>
      <w:r w:rsidR="005071A9" w:rsidRPr="00047BAE">
        <w:t>n</w:t>
      </w:r>
      <w:r w:rsidR="005071A9" w:rsidRPr="00E612E7">
        <w:t xml:space="preserve"> Table 1.</w:t>
      </w:r>
    </w:p>
    <w:p w14:paraId="4C29C6CD" w14:textId="51F5AC75" w:rsidR="005071A9" w:rsidRPr="00561AA8" w:rsidRDefault="00B354F1" w:rsidP="00561AA8">
      <w:pPr>
        <w:spacing w:before="120" w:after="120"/>
      </w:pPr>
      <w:r w:rsidRPr="00E612E7">
        <w:t>The audits may be conducted as random, themed or for</w:t>
      </w:r>
      <w:r w:rsidR="00CF715B">
        <w:t>-</w:t>
      </w:r>
      <w:r w:rsidRPr="00E612E7">
        <w:t xml:space="preserve">cause </w:t>
      </w:r>
      <w:r w:rsidR="0095029E" w:rsidRPr="00E612E7">
        <w:t>audits.</w:t>
      </w:r>
      <w:r w:rsidR="005071A9" w:rsidRPr="003D2712">
        <w:t xml:space="preserve"> </w:t>
      </w:r>
    </w:p>
    <w:p w14:paraId="49E1AD28" w14:textId="31E6778D" w:rsidR="001E34E0" w:rsidRPr="00561AA8" w:rsidRDefault="001E34E0" w:rsidP="00561AA8">
      <w:pPr>
        <w:spacing w:before="120" w:after="120"/>
      </w:pPr>
      <w:r w:rsidRPr="00561AA8">
        <w:t>The selection of studies, processes and/or vendors to be audited will be risk-based and including considerations:</w:t>
      </w:r>
    </w:p>
    <w:p w14:paraId="71BCB138" w14:textId="4E0435C1" w:rsidR="001E34E0" w:rsidRPr="00561AA8" w:rsidRDefault="001E34E0" w:rsidP="00561AA8">
      <w:pPr>
        <w:pStyle w:val="ListParagraph"/>
        <w:numPr>
          <w:ilvl w:val="0"/>
          <w:numId w:val="10"/>
        </w:numPr>
        <w:spacing w:before="120" w:after="120"/>
        <w:ind w:left="714" w:hanging="357"/>
        <w:contextualSpacing w:val="0"/>
      </w:pPr>
      <w:r w:rsidRPr="00561AA8">
        <w:t>If there is a specific trigger for the audit (i.e., adverse event/s, complaint).</w:t>
      </w:r>
    </w:p>
    <w:p w14:paraId="6EE79B71" w14:textId="6C971F57" w:rsidR="001E34E0" w:rsidRPr="00B83151" w:rsidRDefault="001E34E0" w:rsidP="00561AA8">
      <w:pPr>
        <w:pStyle w:val="ListParagraph"/>
        <w:numPr>
          <w:ilvl w:val="0"/>
          <w:numId w:val="10"/>
        </w:numPr>
        <w:spacing w:before="120" w:after="120"/>
        <w:ind w:left="714" w:hanging="357"/>
        <w:contextualSpacing w:val="0"/>
      </w:pPr>
      <w:r w:rsidRPr="00561AA8">
        <w:t xml:space="preserve">Type of research i.e., clinical trials are generally classed as higher risk, however risk may vary depending on the individual characteristics of the </w:t>
      </w:r>
      <w:r w:rsidR="00B83151">
        <w:t>study</w:t>
      </w:r>
      <w:r w:rsidRPr="00B83151">
        <w:t xml:space="preserve">, the participants, the study team and other factors listed in this section. </w:t>
      </w:r>
    </w:p>
    <w:p w14:paraId="46431FAF" w14:textId="4B065098" w:rsidR="001E34E0" w:rsidRPr="00E612E7" w:rsidRDefault="001E34E0" w:rsidP="00561AA8">
      <w:pPr>
        <w:pStyle w:val="ListParagraph"/>
        <w:numPr>
          <w:ilvl w:val="0"/>
          <w:numId w:val="10"/>
        </w:numPr>
        <w:spacing w:before="120" w:after="120"/>
        <w:ind w:left="714" w:hanging="357"/>
        <w:contextualSpacing w:val="0"/>
      </w:pPr>
      <w:r w:rsidRPr="00B83151">
        <w:t>Quality Assurance projects will not routinely be audited but may be audited in for</w:t>
      </w:r>
      <w:r w:rsidR="00CF715B">
        <w:t>-</w:t>
      </w:r>
      <w:r w:rsidRPr="00B83151">
        <w:t>cause audits or audits of research sys</w:t>
      </w:r>
      <w:r w:rsidRPr="00047BAE">
        <w:t xml:space="preserve">tems and </w:t>
      </w:r>
      <w:r w:rsidRPr="00E612E7" w:rsidDel="006448DF">
        <w:t>processes</w:t>
      </w:r>
      <w:r w:rsidR="009B29B4">
        <w:t>.</w:t>
      </w:r>
    </w:p>
    <w:p w14:paraId="18234A21" w14:textId="77777777" w:rsidR="001E34E0" w:rsidRPr="00E612E7" w:rsidRDefault="001E34E0" w:rsidP="00561AA8">
      <w:pPr>
        <w:pStyle w:val="ListParagraph"/>
        <w:numPr>
          <w:ilvl w:val="0"/>
          <w:numId w:val="10"/>
        </w:numPr>
        <w:spacing w:before="120" w:after="120"/>
        <w:ind w:left="714" w:hanging="357"/>
        <w:contextualSpacing w:val="0"/>
      </w:pPr>
      <w:r w:rsidRPr="00E612E7">
        <w:t>the number of patients recruited</w:t>
      </w:r>
    </w:p>
    <w:p w14:paraId="1CDF8764" w14:textId="77777777" w:rsidR="001E34E0" w:rsidRPr="00E612E7" w:rsidRDefault="001E34E0" w:rsidP="00561AA8">
      <w:pPr>
        <w:pStyle w:val="ListParagraph"/>
        <w:numPr>
          <w:ilvl w:val="0"/>
          <w:numId w:val="10"/>
        </w:numPr>
        <w:spacing w:before="120" w:after="120"/>
        <w:ind w:left="714" w:hanging="357"/>
        <w:contextualSpacing w:val="0"/>
      </w:pPr>
      <w:r w:rsidRPr="00E612E7">
        <w:t>the phase/complexity of the study</w:t>
      </w:r>
    </w:p>
    <w:p w14:paraId="4659D208" w14:textId="77777777" w:rsidR="001E34E0" w:rsidRPr="00E612E7" w:rsidRDefault="001E34E0" w:rsidP="00561AA8">
      <w:pPr>
        <w:pStyle w:val="ListParagraph"/>
        <w:numPr>
          <w:ilvl w:val="0"/>
          <w:numId w:val="10"/>
        </w:numPr>
        <w:spacing w:before="120" w:after="120"/>
        <w:ind w:left="714" w:hanging="357"/>
        <w:contextualSpacing w:val="0"/>
      </w:pPr>
      <w:r w:rsidRPr="00E612E7">
        <w:t>the status of the study</w:t>
      </w:r>
    </w:p>
    <w:p w14:paraId="7EDB5A6A" w14:textId="77777777" w:rsidR="001E34E0" w:rsidRPr="00E612E7" w:rsidRDefault="001E34E0" w:rsidP="00561AA8">
      <w:pPr>
        <w:pStyle w:val="ListParagraph"/>
        <w:numPr>
          <w:ilvl w:val="0"/>
          <w:numId w:val="10"/>
        </w:numPr>
        <w:spacing w:before="120" w:after="120"/>
        <w:ind w:left="714" w:hanging="357"/>
        <w:contextualSpacing w:val="0"/>
      </w:pPr>
      <w:r w:rsidRPr="00E612E7">
        <w:t>concerns regarding data integrity</w:t>
      </w:r>
    </w:p>
    <w:p w14:paraId="402888B9" w14:textId="77777777" w:rsidR="001E34E0" w:rsidRPr="00E612E7" w:rsidRDefault="001E34E0" w:rsidP="00561AA8">
      <w:pPr>
        <w:pStyle w:val="ListParagraph"/>
        <w:numPr>
          <w:ilvl w:val="0"/>
          <w:numId w:val="10"/>
        </w:numPr>
        <w:spacing w:before="120" w:after="120"/>
        <w:ind w:left="714" w:hanging="357"/>
        <w:contextualSpacing w:val="0"/>
      </w:pPr>
      <w:r w:rsidRPr="00E612E7">
        <w:t>experience of Clinical Trial Coordinator (CTC)/Research Nurse/Coordinator and Principal Investigator (PI)</w:t>
      </w:r>
    </w:p>
    <w:p w14:paraId="6E11F08E" w14:textId="77777777" w:rsidR="001E34E0" w:rsidRPr="003D2712" w:rsidRDefault="001E34E0" w:rsidP="00561AA8">
      <w:pPr>
        <w:pStyle w:val="ListParagraph"/>
        <w:numPr>
          <w:ilvl w:val="0"/>
          <w:numId w:val="10"/>
        </w:numPr>
        <w:spacing w:before="120" w:after="120"/>
        <w:ind w:left="714" w:hanging="357"/>
        <w:contextualSpacing w:val="0"/>
      </w:pPr>
      <w:r w:rsidRPr="00E612E7">
        <w:t>turnov</w:t>
      </w:r>
      <w:r w:rsidRPr="003D2712">
        <w:t>er of staff</w:t>
      </w:r>
    </w:p>
    <w:p w14:paraId="41465F23" w14:textId="77777777" w:rsidR="001E34E0" w:rsidRPr="00561AA8" w:rsidRDefault="001E34E0" w:rsidP="00561AA8">
      <w:pPr>
        <w:pStyle w:val="ListParagraph"/>
        <w:numPr>
          <w:ilvl w:val="0"/>
          <w:numId w:val="10"/>
        </w:numPr>
        <w:spacing w:before="120" w:after="120"/>
        <w:ind w:left="714" w:hanging="357"/>
        <w:contextualSpacing w:val="0"/>
      </w:pPr>
      <w:r w:rsidRPr="00561AA8">
        <w:t>findings from Sponsors</w:t>
      </w:r>
    </w:p>
    <w:p w14:paraId="43BC9CC1" w14:textId="77777777" w:rsidR="001E34E0" w:rsidRPr="00561AA8" w:rsidRDefault="001E34E0" w:rsidP="00561AA8">
      <w:pPr>
        <w:pStyle w:val="ListParagraph"/>
        <w:numPr>
          <w:ilvl w:val="0"/>
          <w:numId w:val="10"/>
        </w:numPr>
        <w:spacing w:before="120" w:after="120"/>
        <w:ind w:left="714" w:hanging="357"/>
        <w:contextualSpacing w:val="0"/>
      </w:pPr>
      <w:r w:rsidRPr="00561AA8">
        <w:t>high incidence of Serious Adverse Events (SAEs)</w:t>
      </w:r>
    </w:p>
    <w:p w14:paraId="35D66631" w14:textId="77777777" w:rsidR="001E34E0" w:rsidRPr="00561AA8" w:rsidRDefault="001E34E0" w:rsidP="00561AA8">
      <w:pPr>
        <w:pStyle w:val="ListParagraph"/>
        <w:numPr>
          <w:ilvl w:val="0"/>
          <w:numId w:val="10"/>
        </w:numPr>
        <w:spacing w:before="120" w:after="120"/>
        <w:ind w:left="714" w:hanging="357"/>
        <w:contextualSpacing w:val="0"/>
      </w:pPr>
      <w:r w:rsidRPr="00561AA8">
        <w:t>periodic audit cycles</w:t>
      </w:r>
    </w:p>
    <w:p w14:paraId="7D1B239D" w14:textId="77777777" w:rsidR="001E34E0" w:rsidRPr="00561AA8" w:rsidRDefault="001E34E0" w:rsidP="00561AA8">
      <w:pPr>
        <w:pStyle w:val="ListParagraph"/>
        <w:numPr>
          <w:ilvl w:val="0"/>
          <w:numId w:val="10"/>
        </w:numPr>
        <w:spacing w:before="120" w:after="120"/>
        <w:ind w:left="714" w:hanging="357"/>
        <w:contextualSpacing w:val="0"/>
      </w:pPr>
      <w:r w:rsidRPr="00561AA8">
        <w:t>new vendor; change in location.</w:t>
      </w:r>
    </w:p>
    <w:p w14:paraId="33D07374" w14:textId="0B4AED4D" w:rsidR="006F6B6E" w:rsidRPr="00561AA8" w:rsidRDefault="006F6B6E" w:rsidP="00561AA8">
      <w:pPr>
        <w:spacing w:before="120" w:after="120"/>
      </w:pPr>
      <w:r w:rsidRPr="00561AA8">
        <w:t xml:space="preserve">Audits will be performed according to the applicable annual Quality Plan prepared </w:t>
      </w:r>
      <w:r w:rsidR="0009737D" w:rsidRPr="00561AA8">
        <w:t xml:space="preserve">and updated from time to time </w:t>
      </w:r>
      <w:r w:rsidRPr="00561AA8">
        <w:t>by the</w:t>
      </w:r>
      <w:r w:rsidR="0009737D" w:rsidRPr="00561AA8">
        <w:t xml:space="preserve"> </w:t>
      </w:r>
      <w:proofErr w:type="spellStart"/>
      <w:r w:rsidR="006D47B9">
        <w:t>O</w:t>
      </w:r>
      <w:r w:rsidR="000E5477">
        <w:t>f</w:t>
      </w:r>
      <w:r w:rsidR="006D47B9">
        <w:t>R</w:t>
      </w:r>
      <w:proofErr w:type="spellEnd"/>
      <w:r w:rsidRPr="00561AA8">
        <w:t xml:space="preserve"> and approved by the </w:t>
      </w:r>
      <w:r w:rsidR="00171F00" w:rsidRPr="00561AA8">
        <w:t xml:space="preserve">Group </w:t>
      </w:r>
      <w:r w:rsidRPr="00561AA8">
        <w:t xml:space="preserve">Director of Research and Development. </w:t>
      </w:r>
      <w:r w:rsidR="00B354F1" w:rsidRPr="00561AA8">
        <w:t xml:space="preserve">The type and frequency of internal audits may vary, depending on the risk or process being audited. </w:t>
      </w:r>
      <w:r w:rsidRPr="00561AA8">
        <w:t>Additional audits may be undertaken if significant potential or actual quality and/or safety issues arise.</w:t>
      </w:r>
    </w:p>
    <w:p w14:paraId="5EEA0381" w14:textId="5AEE57C8" w:rsidR="000012AD" w:rsidRDefault="006F6B6E" w:rsidP="00561AA8">
      <w:pPr>
        <w:spacing w:before="120" w:after="120"/>
      </w:pPr>
      <w:r w:rsidRPr="00165A10">
        <w:t xml:space="preserve">The </w:t>
      </w:r>
      <w:proofErr w:type="spellStart"/>
      <w:r w:rsidR="006D47B9">
        <w:t>OfR</w:t>
      </w:r>
      <w:proofErr w:type="spellEnd"/>
      <w:r w:rsidRPr="00165A10">
        <w:t xml:space="preserve"> delegate who is ‘independent’ (i.e. not a member of the </w:t>
      </w:r>
      <w:r w:rsidR="00165A10">
        <w:t xml:space="preserve">study </w:t>
      </w:r>
      <w:r w:rsidRPr="00165A10">
        <w:t>team) will act as the auditor.</w:t>
      </w:r>
    </w:p>
    <w:p w14:paraId="1C392EE4" w14:textId="7BAC20F6" w:rsidR="00165A10" w:rsidRPr="00561AA8" w:rsidRDefault="001320D4" w:rsidP="00561AA8">
      <w:pPr>
        <w:pStyle w:val="ListParagraph"/>
        <w:numPr>
          <w:ilvl w:val="0"/>
          <w:numId w:val="10"/>
        </w:numPr>
        <w:spacing w:before="120" w:after="120"/>
        <w:contextualSpacing w:val="0"/>
      </w:pPr>
      <w:r w:rsidRPr="00561AA8">
        <w:rPr>
          <w:b/>
          <w:bCs/>
        </w:rPr>
        <w:t>Table 1:</w:t>
      </w:r>
      <w:r w:rsidRPr="00561AA8">
        <w:t xml:space="preserve"> Annuals</w:t>
      </w:r>
      <w:r w:rsidR="001E34E0" w:rsidRPr="00561AA8">
        <w:t xml:space="preserve"> </w:t>
      </w:r>
      <w:r w:rsidR="004B618C" w:rsidRPr="00561AA8">
        <w:t>Audit</w:t>
      </w:r>
      <w:r w:rsidR="001E34E0" w:rsidRPr="00561AA8">
        <w:t xml:space="preserve"> Plan</w:t>
      </w:r>
      <w:r w:rsidRPr="00561AA8">
        <w:t xml:space="preserve"> for internal research audits </w:t>
      </w:r>
    </w:p>
    <w:tbl>
      <w:tblPr>
        <w:tblStyle w:val="TableGrid"/>
        <w:tblW w:w="9215" w:type="dxa"/>
        <w:tblInd w:w="-289" w:type="dxa"/>
        <w:tblLayout w:type="fixed"/>
        <w:tblLook w:val="04A0" w:firstRow="1" w:lastRow="0" w:firstColumn="1" w:lastColumn="0" w:noHBand="0" w:noVBand="1"/>
      </w:tblPr>
      <w:tblGrid>
        <w:gridCol w:w="2978"/>
        <w:gridCol w:w="1984"/>
        <w:gridCol w:w="4253"/>
      </w:tblGrid>
      <w:tr w:rsidR="00165A10" w:rsidRPr="00675C1F" w14:paraId="18C2329F" w14:textId="77777777" w:rsidTr="00E228DD">
        <w:tc>
          <w:tcPr>
            <w:tcW w:w="2978" w:type="dxa"/>
            <w:shd w:val="clear" w:color="auto" w:fill="2E74B5" w:themeFill="accent1" w:themeFillShade="BF"/>
          </w:tcPr>
          <w:p w14:paraId="55D5B709" w14:textId="77777777" w:rsidR="00165A10" w:rsidRPr="00561AA8" w:rsidRDefault="00165A10" w:rsidP="00675C1F">
            <w:pPr>
              <w:spacing w:before="120" w:after="120"/>
              <w:rPr>
                <w:color w:val="FFFFFF" w:themeColor="background1"/>
              </w:rPr>
            </w:pPr>
            <w:r w:rsidRPr="00561AA8">
              <w:rPr>
                <w:color w:val="FFFFFF" w:themeColor="background1"/>
              </w:rPr>
              <w:t>Audit Type</w:t>
            </w:r>
          </w:p>
        </w:tc>
        <w:tc>
          <w:tcPr>
            <w:tcW w:w="1984" w:type="dxa"/>
            <w:shd w:val="clear" w:color="auto" w:fill="2E74B5" w:themeFill="accent1" w:themeFillShade="BF"/>
          </w:tcPr>
          <w:p w14:paraId="02DBC018" w14:textId="211F5875" w:rsidR="00165A10" w:rsidRPr="00561AA8" w:rsidRDefault="00165A10" w:rsidP="00675C1F">
            <w:pPr>
              <w:spacing w:before="120" w:after="120"/>
              <w:rPr>
                <w:color w:val="FFFFFF" w:themeColor="background1"/>
              </w:rPr>
            </w:pPr>
            <w:r w:rsidRPr="00561AA8">
              <w:rPr>
                <w:color w:val="FFFFFF" w:themeColor="background1"/>
              </w:rPr>
              <w:t>Planned Audits</w:t>
            </w:r>
            <w:r w:rsidR="00F160AC">
              <w:rPr>
                <w:color w:val="FFFFFF" w:themeColor="background1"/>
              </w:rPr>
              <w:t xml:space="preserve"> / year</w:t>
            </w:r>
          </w:p>
        </w:tc>
        <w:tc>
          <w:tcPr>
            <w:tcW w:w="4253" w:type="dxa"/>
            <w:shd w:val="clear" w:color="auto" w:fill="2E74B5" w:themeFill="accent1" w:themeFillShade="BF"/>
          </w:tcPr>
          <w:p w14:paraId="43651ACE" w14:textId="77777777" w:rsidR="00165A10" w:rsidRPr="00561AA8" w:rsidRDefault="00165A10" w:rsidP="00675C1F">
            <w:pPr>
              <w:spacing w:before="120" w:after="120"/>
              <w:rPr>
                <w:color w:val="FFFFFF" w:themeColor="background1"/>
              </w:rPr>
            </w:pPr>
            <w:r w:rsidRPr="00561AA8">
              <w:rPr>
                <w:color w:val="FFFFFF" w:themeColor="background1"/>
              </w:rPr>
              <w:t>Conduct/review team</w:t>
            </w:r>
          </w:p>
        </w:tc>
      </w:tr>
      <w:tr w:rsidR="00165A10" w:rsidRPr="00561AA8" w14:paraId="0D47DC0B" w14:textId="77777777" w:rsidTr="00E228DD">
        <w:tc>
          <w:tcPr>
            <w:tcW w:w="2978" w:type="dxa"/>
          </w:tcPr>
          <w:p w14:paraId="6D1CC9D0" w14:textId="77777777" w:rsidR="00165A10" w:rsidRPr="00561AA8" w:rsidRDefault="00165A10" w:rsidP="00675C1F">
            <w:pPr>
              <w:spacing w:before="120" w:after="120"/>
            </w:pPr>
            <w:r w:rsidRPr="00561AA8">
              <w:t>On-site audits</w:t>
            </w:r>
          </w:p>
        </w:tc>
        <w:tc>
          <w:tcPr>
            <w:tcW w:w="1984" w:type="dxa"/>
          </w:tcPr>
          <w:p w14:paraId="0477186B" w14:textId="77777777" w:rsidR="00165A10" w:rsidRPr="00561AA8" w:rsidRDefault="00165A10" w:rsidP="00675C1F">
            <w:pPr>
              <w:spacing w:before="120" w:after="120"/>
            </w:pPr>
            <w:r w:rsidRPr="00561AA8">
              <w:t>6</w:t>
            </w:r>
          </w:p>
        </w:tc>
        <w:tc>
          <w:tcPr>
            <w:tcW w:w="4253" w:type="dxa"/>
          </w:tcPr>
          <w:p w14:paraId="67F06B0E" w14:textId="547E60A3" w:rsidR="00165A10" w:rsidRPr="00561AA8" w:rsidRDefault="00165A10" w:rsidP="00675C1F">
            <w:pPr>
              <w:spacing w:before="120" w:after="120"/>
            </w:pPr>
            <w:r w:rsidRPr="00561AA8">
              <w:t xml:space="preserve">Conducted by the </w:t>
            </w:r>
            <w:proofErr w:type="spellStart"/>
            <w:r w:rsidR="006D47B9">
              <w:t>O</w:t>
            </w:r>
            <w:r w:rsidR="000E5477">
              <w:t>f</w:t>
            </w:r>
            <w:r w:rsidR="006D47B9">
              <w:t>R</w:t>
            </w:r>
            <w:proofErr w:type="spellEnd"/>
          </w:p>
        </w:tc>
      </w:tr>
      <w:tr w:rsidR="00165A10" w:rsidRPr="00675C1F" w14:paraId="7106A1C8" w14:textId="77777777" w:rsidTr="00E228DD">
        <w:tc>
          <w:tcPr>
            <w:tcW w:w="2978" w:type="dxa"/>
          </w:tcPr>
          <w:p w14:paraId="18D15150" w14:textId="77777777" w:rsidR="00165A10" w:rsidRPr="00561AA8" w:rsidRDefault="00165A10" w:rsidP="00675C1F">
            <w:pPr>
              <w:spacing w:before="120" w:after="120"/>
            </w:pPr>
            <w:r w:rsidRPr="00561AA8">
              <w:t>Self-audits</w:t>
            </w:r>
          </w:p>
        </w:tc>
        <w:tc>
          <w:tcPr>
            <w:tcW w:w="1984" w:type="dxa"/>
          </w:tcPr>
          <w:p w14:paraId="31293032" w14:textId="77777777" w:rsidR="00165A10" w:rsidRPr="00561AA8" w:rsidRDefault="00165A10" w:rsidP="00675C1F">
            <w:pPr>
              <w:spacing w:before="120" w:after="120"/>
            </w:pPr>
            <w:r w:rsidRPr="00561AA8">
              <w:t>33</w:t>
            </w:r>
          </w:p>
        </w:tc>
        <w:tc>
          <w:tcPr>
            <w:tcW w:w="4253" w:type="dxa"/>
          </w:tcPr>
          <w:p w14:paraId="142AC89B" w14:textId="77777777" w:rsidR="00165A10" w:rsidRPr="00561AA8" w:rsidRDefault="00165A10" w:rsidP="00675C1F">
            <w:pPr>
              <w:spacing w:before="120" w:after="120"/>
            </w:pPr>
            <w:r w:rsidRPr="00561AA8">
              <w:t>Conducted by the study team.</w:t>
            </w:r>
          </w:p>
          <w:p w14:paraId="485E9F00" w14:textId="0F4E39DD" w:rsidR="00165A10" w:rsidRPr="00561AA8" w:rsidRDefault="00165A10" w:rsidP="00675C1F">
            <w:pPr>
              <w:spacing w:before="120" w:after="120"/>
            </w:pPr>
            <w:r w:rsidRPr="00561AA8">
              <w:lastRenderedPageBreak/>
              <w:t xml:space="preserve">Reviewed by the </w:t>
            </w:r>
            <w:proofErr w:type="spellStart"/>
            <w:r w:rsidR="006D47B9">
              <w:t>O</w:t>
            </w:r>
            <w:r w:rsidR="000E5477">
              <w:t>f</w:t>
            </w:r>
            <w:r w:rsidR="006D47B9">
              <w:t>R</w:t>
            </w:r>
            <w:proofErr w:type="spellEnd"/>
          </w:p>
        </w:tc>
      </w:tr>
      <w:tr w:rsidR="00165A10" w:rsidRPr="00675C1F" w14:paraId="73AC6193" w14:textId="77777777" w:rsidTr="00E228DD">
        <w:tc>
          <w:tcPr>
            <w:tcW w:w="2978" w:type="dxa"/>
          </w:tcPr>
          <w:p w14:paraId="26796D3E" w14:textId="77777777" w:rsidR="00165A10" w:rsidRPr="00561AA8" w:rsidRDefault="00165A10" w:rsidP="00675C1F">
            <w:pPr>
              <w:spacing w:before="120" w:after="120"/>
            </w:pPr>
            <w:r w:rsidRPr="00561AA8">
              <w:lastRenderedPageBreak/>
              <w:t>Procedural and themed audits</w:t>
            </w:r>
          </w:p>
        </w:tc>
        <w:tc>
          <w:tcPr>
            <w:tcW w:w="1984" w:type="dxa"/>
          </w:tcPr>
          <w:p w14:paraId="1B60B978" w14:textId="77777777" w:rsidR="00165A10" w:rsidRPr="00561AA8" w:rsidRDefault="00165A10" w:rsidP="00675C1F">
            <w:pPr>
              <w:spacing w:before="120" w:after="120"/>
            </w:pPr>
            <w:r w:rsidRPr="00561AA8">
              <w:t xml:space="preserve">2 </w:t>
            </w:r>
          </w:p>
        </w:tc>
        <w:tc>
          <w:tcPr>
            <w:tcW w:w="4253" w:type="dxa"/>
          </w:tcPr>
          <w:p w14:paraId="68B7F12E" w14:textId="470E954C" w:rsidR="00165A10" w:rsidRPr="00561AA8" w:rsidRDefault="00165A10" w:rsidP="00675C1F">
            <w:pPr>
              <w:spacing w:before="120" w:after="120"/>
            </w:pPr>
            <w:r w:rsidRPr="00561AA8">
              <w:t xml:space="preserve">Conducted by the </w:t>
            </w:r>
            <w:proofErr w:type="spellStart"/>
            <w:r w:rsidR="006D47B9">
              <w:t>O</w:t>
            </w:r>
            <w:r w:rsidR="000E5477">
              <w:t>f</w:t>
            </w:r>
            <w:r w:rsidR="006D47B9">
              <w:t>R</w:t>
            </w:r>
            <w:proofErr w:type="spellEnd"/>
            <w:r w:rsidRPr="00561AA8">
              <w:t xml:space="preserve"> with assistance by other Epworth stakeholders as required</w:t>
            </w:r>
          </w:p>
        </w:tc>
      </w:tr>
      <w:tr w:rsidR="00165A10" w:rsidRPr="00675C1F" w14:paraId="6F3B0E4B" w14:textId="77777777" w:rsidTr="00E228DD">
        <w:tc>
          <w:tcPr>
            <w:tcW w:w="2978" w:type="dxa"/>
          </w:tcPr>
          <w:p w14:paraId="37284BE0" w14:textId="77777777" w:rsidR="00165A10" w:rsidRPr="00561AA8" w:rsidRDefault="00165A10" w:rsidP="00675C1F">
            <w:pPr>
              <w:spacing w:before="120" w:after="120"/>
            </w:pPr>
            <w:r w:rsidRPr="00561AA8">
              <w:t>T</w:t>
            </w:r>
            <w:r w:rsidRPr="00561AA8" w:rsidDel="006448DF">
              <w:t>hird party vendors</w:t>
            </w:r>
          </w:p>
        </w:tc>
        <w:tc>
          <w:tcPr>
            <w:tcW w:w="1984" w:type="dxa"/>
          </w:tcPr>
          <w:p w14:paraId="1FF39370" w14:textId="77777777" w:rsidR="00165A10" w:rsidRPr="00561AA8" w:rsidRDefault="00165A10" w:rsidP="00675C1F">
            <w:pPr>
              <w:spacing w:before="120" w:after="120"/>
            </w:pPr>
            <w:r w:rsidRPr="00561AA8">
              <w:t>As required</w:t>
            </w:r>
          </w:p>
        </w:tc>
        <w:tc>
          <w:tcPr>
            <w:tcW w:w="4253" w:type="dxa"/>
          </w:tcPr>
          <w:p w14:paraId="5E6BF8F7" w14:textId="15825F6D" w:rsidR="00165A10" w:rsidRPr="00561AA8" w:rsidRDefault="00165A10" w:rsidP="00675C1F">
            <w:pPr>
              <w:spacing w:before="120" w:after="120"/>
            </w:pPr>
            <w:r w:rsidRPr="00561AA8">
              <w:t xml:space="preserve">Conducted by the </w:t>
            </w:r>
            <w:proofErr w:type="spellStart"/>
            <w:r w:rsidR="006D47B9">
              <w:t>O</w:t>
            </w:r>
            <w:r w:rsidR="000E5477">
              <w:t>f</w:t>
            </w:r>
            <w:r w:rsidR="006D47B9">
              <w:t>R</w:t>
            </w:r>
            <w:proofErr w:type="spellEnd"/>
            <w:r w:rsidRPr="00561AA8">
              <w:t xml:space="preserve"> with assistance by the study team</w:t>
            </w:r>
          </w:p>
        </w:tc>
      </w:tr>
    </w:tbl>
    <w:p w14:paraId="47A04909" w14:textId="77777777" w:rsidR="00165A10" w:rsidRPr="00561AA8" w:rsidRDefault="00165A10" w:rsidP="00165A10">
      <w:pPr>
        <w:spacing w:before="120" w:after="120"/>
      </w:pPr>
    </w:p>
    <w:p w14:paraId="5F0A2D70" w14:textId="69782E43" w:rsidR="00B44D22" w:rsidRPr="00561AA8" w:rsidRDefault="003D08E3" w:rsidP="00561AA8">
      <w:pPr>
        <w:pStyle w:val="Heading3"/>
        <w:spacing w:before="120" w:after="120"/>
        <w:rPr>
          <w:rFonts w:cstheme="minorHAnsi"/>
        </w:rPr>
      </w:pPr>
      <w:r w:rsidRPr="00561AA8">
        <w:rPr>
          <w:rFonts w:cstheme="minorHAnsi"/>
        </w:rPr>
        <w:t>5.2</w:t>
      </w:r>
      <w:r w:rsidR="001320D4" w:rsidRPr="00561AA8">
        <w:rPr>
          <w:rFonts w:cstheme="minorHAnsi"/>
        </w:rPr>
        <w:t>.2</w:t>
      </w:r>
      <w:r w:rsidRPr="00561AA8">
        <w:rPr>
          <w:rFonts w:cstheme="minorHAnsi"/>
        </w:rPr>
        <w:t xml:space="preserve"> </w:t>
      </w:r>
      <w:r w:rsidR="00B44D22" w:rsidRPr="00561AA8">
        <w:rPr>
          <w:rFonts w:cstheme="minorHAnsi"/>
        </w:rPr>
        <w:t>C</w:t>
      </w:r>
      <w:r w:rsidR="001320D4" w:rsidRPr="00561AA8">
        <w:rPr>
          <w:rFonts w:cstheme="minorHAnsi"/>
        </w:rPr>
        <w:t>onduct of On</w:t>
      </w:r>
      <w:r w:rsidR="00C30DAD" w:rsidRPr="00561AA8">
        <w:rPr>
          <w:rFonts w:cstheme="minorHAnsi"/>
        </w:rPr>
        <w:t>-</w:t>
      </w:r>
      <w:r w:rsidR="001320D4" w:rsidRPr="00561AA8">
        <w:rPr>
          <w:rFonts w:cstheme="minorHAnsi"/>
        </w:rPr>
        <w:t>Site Audits</w:t>
      </w:r>
    </w:p>
    <w:p w14:paraId="49D7B497" w14:textId="459391C5" w:rsidR="004F16E3" w:rsidRPr="00E612E7" w:rsidRDefault="00C30DAD" w:rsidP="00561AA8">
      <w:pPr>
        <w:spacing w:before="120" w:after="120"/>
      </w:pPr>
      <w:r w:rsidRPr="00047BAE">
        <w:t xml:space="preserve">On-Site audits </w:t>
      </w:r>
      <w:r w:rsidR="004F16E3" w:rsidRPr="00E612E7">
        <w:t xml:space="preserve">are conducted by </w:t>
      </w:r>
      <w:proofErr w:type="spellStart"/>
      <w:r w:rsidR="006D47B9">
        <w:t>O</w:t>
      </w:r>
      <w:r w:rsidR="000E5477">
        <w:t>f</w:t>
      </w:r>
      <w:r w:rsidR="006D47B9">
        <w:t>R</w:t>
      </w:r>
      <w:proofErr w:type="spellEnd"/>
      <w:r w:rsidR="0026293F" w:rsidRPr="00E612E7">
        <w:t xml:space="preserve"> staff.</w:t>
      </w:r>
    </w:p>
    <w:p w14:paraId="360972B3" w14:textId="494BFCBF" w:rsidR="006457AE" w:rsidRPr="00B83151" w:rsidRDefault="006D47B9" w:rsidP="00561AA8">
      <w:pPr>
        <w:spacing w:before="120" w:after="120"/>
      </w:pPr>
      <w:proofErr w:type="spellStart"/>
      <w:r>
        <w:t>O</w:t>
      </w:r>
      <w:r w:rsidR="000E5477">
        <w:t>f</w:t>
      </w:r>
      <w:r>
        <w:t>R</w:t>
      </w:r>
      <w:proofErr w:type="spellEnd"/>
      <w:r w:rsidR="006457AE" w:rsidRPr="00E612E7">
        <w:t xml:space="preserve"> staff will notify the </w:t>
      </w:r>
      <w:r w:rsidR="00AC0966" w:rsidRPr="00E612E7">
        <w:t xml:space="preserve">study </w:t>
      </w:r>
      <w:r w:rsidR="006457AE" w:rsidRPr="00E612E7">
        <w:t xml:space="preserve">team of the audit in writing and liaise with the </w:t>
      </w:r>
      <w:r w:rsidR="00B83151">
        <w:t>study</w:t>
      </w:r>
      <w:r w:rsidR="006457AE" w:rsidRPr="00B83151">
        <w:t xml:space="preserve"> team to organise the audit schedule and access to documentation, personnel and facilities required for the audit.</w:t>
      </w:r>
      <w:r>
        <w:t xml:space="preserve"> Audits should be held within two weeks from the date of notification.</w:t>
      </w:r>
    </w:p>
    <w:p w14:paraId="68932BB0" w14:textId="49CE9F62" w:rsidR="00001CE6" w:rsidRPr="00E612E7" w:rsidRDefault="004F16E3" w:rsidP="00561AA8">
      <w:pPr>
        <w:spacing w:before="120" w:after="120"/>
      </w:pPr>
      <w:r w:rsidRPr="00047BAE">
        <w:t xml:space="preserve">The audit may be conducted as on-site, remote or combination of these modes depending on </w:t>
      </w:r>
      <w:r w:rsidRPr="00E612E7">
        <w:t xml:space="preserve">site location and availability of </w:t>
      </w:r>
      <w:proofErr w:type="spellStart"/>
      <w:r w:rsidR="006D47B9">
        <w:t>O</w:t>
      </w:r>
      <w:r w:rsidR="000E5477">
        <w:t>f</w:t>
      </w:r>
      <w:r w:rsidR="006D47B9">
        <w:t>R</w:t>
      </w:r>
      <w:proofErr w:type="spellEnd"/>
      <w:r w:rsidRPr="00E612E7">
        <w:t xml:space="preserve"> and/or research personnel</w:t>
      </w:r>
      <w:r w:rsidR="009B29B4">
        <w:t>.</w:t>
      </w:r>
    </w:p>
    <w:p w14:paraId="542365B6" w14:textId="6C8A09FF" w:rsidR="001320D4" w:rsidRPr="00E612E7" w:rsidRDefault="00001CE6" w:rsidP="00561AA8">
      <w:pPr>
        <w:spacing w:before="120" w:after="120"/>
      </w:pPr>
      <w:r w:rsidRPr="00E612E7">
        <w:t>The pro</w:t>
      </w:r>
      <w:r w:rsidR="001320D4" w:rsidRPr="00E612E7">
        <w:t>cess for conduct of on-site audits is described in Appendix 1.</w:t>
      </w:r>
    </w:p>
    <w:p w14:paraId="4574B230" w14:textId="77777777" w:rsidR="00B44D22" w:rsidRPr="00561AA8" w:rsidRDefault="00B44D22" w:rsidP="00561AA8">
      <w:pPr>
        <w:spacing w:before="120" w:after="120"/>
      </w:pPr>
    </w:p>
    <w:p w14:paraId="221AA6E5" w14:textId="770DC1BF" w:rsidR="00B44D22" w:rsidRPr="001916D9" w:rsidRDefault="001320D4" w:rsidP="00561AA8">
      <w:pPr>
        <w:spacing w:before="120" w:after="120"/>
        <w:rPr>
          <w:b/>
          <w:bCs/>
          <w:color w:val="2E74B5" w:themeColor="accent1" w:themeShade="BF"/>
          <w:u w:val="single"/>
        </w:rPr>
      </w:pPr>
      <w:r w:rsidRPr="001916D9">
        <w:rPr>
          <w:b/>
          <w:bCs/>
          <w:color w:val="2E74B5" w:themeColor="accent1" w:themeShade="BF"/>
          <w:u w:val="single"/>
        </w:rPr>
        <w:t xml:space="preserve">5.2.3 </w:t>
      </w:r>
      <w:r w:rsidR="00B44D22" w:rsidRPr="001916D9">
        <w:rPr>
          <w:b/>
          <w:bCs/>
          <w:color w:val="2E74B5" w:themeColor="accent1" w:themeShade="BF"/>
          <w:u w:val="single"/>
        </w:rPr>
        <w:t>Conduct of Self Audits</w:t>
      </w:r>
    </w:p>
    <w:p w14:paraId="381CED07" w14:textId="16C53F42" w:rsidR="00AB4B87" w:rsidRPr="00561AA8" w:rsidRDefault="00AB4B87" w:rsidP="00561AA8">
      <w:pPr>
        <w:spacing w:before="120" w:after="120"/>
      </w:pPr>
      <w:r w:rsidRPr="00561AA8">
        <w:t>Self-Audits conducted by the study team</w:t>
      </w:r>
      <w:r w:rsidR="00AC0966" w:rsidRPr="00561AA8">
        <w:t xml:space="preserve"> </w:t>
      </w:r>
      <w:r w:rsidR="001F4257">
        <w:t xml:space="preserve">by completion of the audit tool </w:t>
      </w:r>
      <w:r w:rsidR="00AC0966" w:rsidRPr="00561AA8">
        <w:t xml:space="preserve">and returned to the </w:t>
      </w:r>
      <w:proofErr w:type="spellStart"/>
      <w:r w:rsidR="006D47B9">
        <w:t>O</w:t>
      </w:r>
      <w:r w:rsidR="000E5477">
        <w:t>f</w:t>
      </w:r>
      <w:r w:rsidR="006D47B9">
        <w:t>R</w:t>
      </w:r>
      <w:proofErr w:type="spellEnd"/>
      <w:r w:rsidRPr="00561AA8">
        <w:t>.</w:t>
      </w:r>
    </w:p>
    <w:p w14:paraId="129B1124" w14:textId="28188A7D" w:rsidR="00AB4B87" w:rsidRPr="00561AA8" w:rsidRDefault="006D47B9" w:rsidP="00561AA8">
      <w:pPr>
        <w:spacing w:before="120" w:after="120"/>
      </w:pPr>
      <w:proofErr w:type="spellStart"/>
      <w:r>
        <w:t>O</w:t>
      </w:r>
      <w:r w:rsidR="000E5477">
        <w:t>f</w:t>
      </w:r>
      <w:r>
        <w:t>R</w:t>
      </w:r>
      <w:proofErr w:type="spellEnd"/>
      <w:r w:rsidR="00AB4B87" w:rsidRPr="00561AA8">
        <w:t xml:space="preserve"> staff will notify the </w:t>
      </w:r>
      <w:r w:rsidR="00AC0966" w:rsidRPr="00561AA8">
        <w:t>study</w:t>
      </w:r>
      <w:r w:rsidR="00AB4B87" w:rsidRPr="00561AA8">
        <w:t xml:space="preserve"> team of the audit</w:t>
      </w:r>
      <w:r w:rsidR="00AC0966" w:rsidRPr="00561AA8">
        <w:t xml:space="preserve"> request </w:t>
      </w:r>
      <w:r w:rsidR="00AB4B87" w:rsidRPr="00561AA8">
        <w:t xml:space="preserve">in writing </w:t>
      </w:r>
      <w:r w:rsidR="00AC0966" w:rsidRPr="00561AA8">
        <w:t>and provide the audit tool, request for any other information and instructions for completing the audit.</w:t>
      </w:r>
    </w:p>
    <w:p w14:paraId="44587A7F" w14:textId="045E01EF" w:rsidR="006457AE" w:rsidRPr="00561AA8" w:rsidRDefault="006457AE" w:rsidP="00561AA8">
      <w:pPr>
        <w:spacing w:before="120" w:after="120"/>
      </w:pPr>
      <w:r w:rsidRPr="00561AA8">
        <w:t>The study team will complete the audit tool and gather any other requested information</w:t>
      </w:r>
      <w:r w:rsidR="009B29B4">
        <w:t>.</w:t>
      </w:r>
    </w:p>
    <w:p w14:paraId="11602811" w14:textId="56E2670A" w:rsidR="006457AE" w:rsidRPr="00561AA8" w:rsidRDefault="006457AE" w:rsidP="00561AA8">
      <w:pPr>
        <w:spacing w:before="120" w:after="120"/>
      </w:pPr>
      <w:r w:rsidRPr="00561AA8">
        <w:t xml:space="preserve">The study team </w:t>
      </w:r>
      <w:r w:rsidR="003E2B46">
        <w:t>should</w:t>
      </w:r>
      <w:r w:rsidR="003E2B46" w:rsidRPr="00561AA8">
        <w:t xml:space="preserve"> </w:t>
      </w:r>
      <w:r w:rsidRPr="00561AA8">
        <w:t xml:space="preserve">submit the completed audit tool and requested information </w:t>
      </w:r>
      <w:r w:rsidR="003E2B46">
        <w:t xml:space="preserve">within three weeks from the date of notification </w:t>
      </w:r>
      <w:r w:rsidRPr="00561AA8">
        <w:t xml:space="preserve">by the completion date. </w:t>
      </w:r>
    </w:p>
    <w:p w14:paraId="30EDC40E" w14:textId="5085AA23" w:rsidR="006457AE" w:rsidRPr="00561AA8" w:rsidRDefault="006457AE" w:rsidP="00561AA8">
      <w:pPr>
        <w:spacing w:before="120" w:after="120"/>
      </w:pPr>
      <w:r w:rsidRPr="00561AA8">
        <w:t xml:space="preserve">The </w:t>
      </w:r>
      <w:proofErr w:type="spellStart"/>
      <w:r w:rsidR="006D47B9">
        <w:t>O</w:t>
      </w:r>
      <w:r w:rsidR="000E5477">
        <w:t>f</w:t>
      </w:r>
      <w:r w:rsidR="006D47B9">
        <w:t>R</w:t>
      </w:r>
      <w:proofErr w:type="spellEnd"/>
      <w:r w:rsidRPr="00561AA8">
        <w:t xml:space="preserve"> will review the submitted information</w:t>
      </w:r>
      <w:r w:rsidR="00AC0966" w:rsidRPr="00561AA8">
        <w:t xml:space="preserve"> and provide a written response to the study team</w:t>
      </w:r>
      <w:r w:rsidR="000012AD">
        <w:t xml:space="preserve"> within </w:t>
      </w:r>
      <w:r w:rsidR="003E2B46">
        <w:t>10 business</w:t>
      </w:r>
      <w:r w:rsidR="000012AD">
        <w:t xml:space="preserve"> days</w:t>
      </w:r>
      <w:r w:rsidR="00AC0966" w:rsidRPr="00561AA8">
        <w:t>.</w:t>
      </w:r>
    </w:p>
    <w:p w14:paraId="42F1053F" w14:textId="2FB84175" w:rsidR="00C77648" w:rsidRPr="00561AA8" w:rsidRDefault="00C77648" w:rsidP="00561AA8">
      <w:pPr>
        <w:spacing w:before="120" w:after="120"/>
      </w:pPr>
      <w:r w:rsidRPr="00561AA8">
        <w:t>Information to be reviewed by the auditor is dependent on the audit scope and usually includes (but is not limited to):</w:t>
      </w:r>
    </w:p>
    <w:p w14:paraId="33632877" w14:textId="6962818F" w:rsidR="00C77648" w:rsidRPr="00561AA8" w:rsidRDefault="00C77648" w:rsidP="00561AA8">
      <w:pPr>
        <w:pStyle w:val="ListParagraph"/>
        <w:numPr>
          <w:ilvl w:val="0"/>
          <w:numId w:val="13"/>
        </w:numPr>
        <w:spacing w:before="120" w:after="120"/>
        <w:ind w:left="714" w:hanging="357"/>
        <w:contextualSpacing w:val="0"/>
      </w:pPr>
      <w:r w:rsidRPr="00561AA8">
        <w:t>HREC approvals (initial and amendment</w:t>
      </w:r>
      <w:r w:rsidR="000012AD">
        <w:t>(s)</w:t>
      </w:r>
      <w:r w:rsidRPr="00561AA8">
        <w:t>)</w:t>
      </w:r>
    </w:p>
    <w:p w14:paraId="7E142A41" w14:textId="77777777" w:rsidR="00C77648" w:rsidRPr="00561AA8" w:rsidRDefault="00C77648" w:rsidP="00561AA8">
      <w:pPr>
        <w:pStyle w:val="ListParagraph"/>
        <w:numPr>
          <w:ilvl w:val="0"/>
          <w:numId w:val="13"/>
        </w:numPr>
        <w:spacing w:before="120" w:after="120"/>
        <w:ind w:left="714" w:hanging="357"/>
        <w:contextualSpacing w:val="0"/>
      </w:pPr>
      <w:r w:rsidRPr="00561AA8">
        <w:t>Research Governance authorisations (initial and amendments)</w:t>
      </w:r>
    </w:p>
    <w:p w14:paraId="66A5F553" w14:textId="77777777" w:rsidR="00C77648" w:rsidRPr="00561AA8" w:rsidRDefault="00C77648" w:rsidP="00561AA8">
      <w:pPr>
        <w:pStyle w:val="ListParagraph"/>
        <w:numPr>
          <w:ilvl w:val="0"/>
          <w:numId w:val="13"/>
        </w:numPr>
        <w:spacing w:before="120" w:after="120"/>
        <w:ind w:left="714" w:hanging="357"/>
        <w:contextualSpacing w:val="0"/>
      </w:pPr>
      <w:r w:rsidRPr="00561AA8">
        <w:t>regulatory and ethics correspondence</w:t>
      </w:r>
    </w:p>
    <w:p w14:paraId="07C158C8" w14:textId="77777777" w:rsidR="00C77648" w:rsidRPr="00561AA8" w:rsidRDefault="00C77648" w:rsidP="00561AA8">
      <w:pPr>
        <w:pStyle w:val="ListParagraph"/>
        <w:numPr>
          <w:ilvl w:val="0"/>
          <w:numId w:val="13"/>
        </w:numPr>
        <w:spacing w:before="120" w:after="120"/>
        <w:ind w:left="714" w:hanging="357"/>
        <w:contextualSpacing w:val="0"/>
      </w:pPr>
      <w:r w:rsidRPr="00561AA8">
        <w:t>the ISF, including Pharmacy documents, if applicable</w:t>
      </w:r>
    </w:p>
    <w:p w14:paraId="1F77AC27" w14:textId="77777777" w:rsidR="00C77648" w:rsidRPr="00561AA8" w:rsidRDefault="00C77648" w:rsidP="00561AA8">
      <w:pPr>
        <w:pStyle w:val="ListParagraph"/>
        <w:numPr>
          <w:ilvl w:val="0"/>
          <w:numId w:val="13"/>
        </w:numPr>
        <w:spacing w:before="120" w:after="120"/>
        <w:ind w:left="714" w:hanging="357"/>
        <w:contextualSpacing w:val="0"/>
      </w:pPr>
      <w:r w:rsidRPr="00561AA8">
        <w:t>Signed participant PICFs</w:t>
      </w:r>
    </w:p>
    <w:p w14:paraId="4D14102F" w14:textId="77777777" w:rsidR="00C77648" w:rsidRPr="00561AA8" w:rsidRDefault="00C77648" w:rsidP="00561AA8">
      <w:pPr>
        <w:pStyle w:val="ListParagraph"/>
        <w:numPr>
          <w:ilvl w:val="0"/>
          <w:numId w:val="13"/>
        </w:numPr>
        <w:spacing w:before="120" w:after="120"/>
        <w:ind w:left="714" w:hanging="357"/>
        <w:contextualSpacing w:val="0"/>
      </w:pPr>
      <w:r w:rsidRPr="00561AA8">
        <w:t xml:space="preserve">participant source data </w:t>
      </w:r>
    </w:p>
    <w:p w14:paraId="15BDC7DF" w14:textId="77777777" w:rsidR="00C77648" w:rsidRPr="00561AA8" w:rsidRDefault="00C77648" w:rsidP="00561AA8">
      <w:pPr>
        <w:pStyle w:val="ListParagraph"/>
        <w:numPr>
          <w:ilvl w:val="0"/>
          <w:numId w:val="13"/>
        </w:numPr>
        <w:spacing w:before="120" w:after="120"/>
        <w:ind w:left="714" w:hanging="357"/>
        <w:contextualSpacing w:val="0"/>
      </w:pPr>
      <w:r w:rsidRPr="00561AA8">
        <w:t>protocol deviations</w:t>
      </w:r>
    </w:p>
    <w:p w14:paraId="2CA985F6" w14:textId="77777777" w:rsidR="00C77648" w:rsidRPr="00561AA8" w:rsidRDefault="00C77648" w:rsidP="00561AA8">
      <w:pPr>
        <w:pStyle w:val="ListParagraph"/>
        <w:numPr>
          <w:ilvl w:val="0"/>
          <w:numId w:val="13"/>
        </w:numPr>
        <w:spacing w:before="120" w:after="120"/>
        <w:ind w:left="714" w:hanging="357"/>
        <w:contextualSpacing w:val="0"/>
      </w:pPr>
      <w:r w:rsidRPr="00561AA8">
        <w:t>adverse events</w:t>
      </w:r>
    </w:p>
    <w:p w14:paraId="7E8500EF" w14:textId="77777777" w:rsidR="00C77648" w:rsidRPr="00561AA8" w:rsidRDefault="00C77648" w:rsidP="00561AA8">
      <w:pPr>
        <w:pStyle w:val="ListParagraph"/>
        <w:numPr>
          <w:ilvl w:val="0"/>
          <w:numId w:val="13"/>
        </w:numPr>
        <w:spacing w:before="120" w:after="120"/>
        <w:ind w:left="714" w:hanging="357"/>
        <w:contextualSpacing w:val="0"/>
      </w:pPr>
      <w:r w:rsidRPr="00561AA8">
        <w:t>Investigational Product receipt, accountability, storage and disposal</w:t>
      </w:r>
    </w:p>
    <w:p w14:paraId="4F81D778" w14:textId="77777777" w:rsidR="00C77648" w:rsidRPr="00561AA8" w:rsidRDefault="00C77648" w:rsidP="00561AA8">
      <w:pPr>
        <w:pStyle w:val="ListParagraph"/>
        <w:numPr>
          <w:ilvl w:val="0"/>
          <w:numId w:val="13"/>
        </w:numPr>
        <w:spacing w:before="120" w:after="120"/>
        <w:ind w:left="714" w:hanging="357"/>
        <w:contextualSpacing w:val="0"/>
      </w:pPr>
      <w:r w:rsidRPr="00561AA8">
        <w:t>management of biological samples</w:t>
      </w:r>
    </w:p>
    <w:p w14:paraId="4334002B" w14:textId="77777777" w:rsidR="00C77648" w:rsidRPr="00561AA8" w:rsidRDefault="00C77648" w:rsidP="00561AA8">
      <w:pPr>
        <w:pStyle w:val="ListParagraph"/>
        <w:numPr>
          <w:ilvl w:val="0"/>
          <w:numId w:val="13"/>
        </w:numPr>
        <w:spacing w:before="120" w:after="120"/>
        <w:ind w:left="714" w:hanging="357"/>
        <w:contextualSpacing w:val="0"/>
      </w:pPr>
      <w:r w:rsidRPr="00561AA8">
        <w:lastRenderedPageBreak/>
        <w:t>equipment maintenance</w:t>
      </w:r>
    </w:p>
    <w:p w14:paraId="3CF748D7" w14:textId="77777777" w:rsidR="00C77648" w:rsidRPr="00561AA8" w:rsidRDefault="00C77648" w:rsidP="00561AA8">
      <w:pPr>
        <w:pStyle w:val="ListParagraph"/>
        <w:numPr>
          <w:ilvl w:val="0"/>
          <w:numId w:val="13"/>
        </w:numPr>
        <w:spacing w:before="120" w:after="120"/>
        <w:ind w:left="714" w:hanging="357"/>
        <w:contextualSpacing w:val="0"/>
      </w:pPr>
      <w:r w:rsidRPr="00561AA8">
        <w:t>qualifications and training of staff.</w:t>
      </w:r>
    </w:p>
    <w:p w14:paraId="75B22410" w14:textId="77777777" w:rsidR="00C77648" w:rsidRPr="00561AA8" w:rsidRDefault="00C77648" w:rsidP="00561AA8">
      <w:pPr>
        <w:spacing w:before="120" w:after="120"/>
      </w:pPr>
      <w:r w:rsidRPr="00561AA8">
        <w:t>Comparison of source data against the data entered into the CRFs (or data collection forms) will occur.  The number of CRFs reviewed will be dependent upon the number of participants recruited and the risk profile of the trial.</w:t>
      </w:r>
    </w:p>
    <w:p w14:paraId="4E1E7059" w14:textId="579A00C3" w:rsidR="00C77648" w:rsidRPr="00561AA8" w:rsidRDefault="00C77648" w:rsidP="00561AA8">
      <w:pPr>
        <w:spacing w:before="120" w:after="120"/>
      </w:pPr>
      <w:r w:rsidRPr="00561AA8">
        <w:t>Trial team members may be interviewed regarding details of the conduct of the study.</w:t>
      </w:r>
    </w:p>
    <w:p w14:paraId="4643378B" w14:textId="5DB94B42" w:rsidR="00E865B9" w:rsidRPr="00561AA8" w:rsidRDefault="00E865B9" w:rsidP="00561AA8">
      <w:pPr>
        <w:spacing w:before="120" w:after="120"/>
      </w:pPr>
      <w:r w:rsidRPr="00561AA8">
        <w:t xml:space="preserve">The process for conduct of </w:t>
      </w:r>
      <w:r w:rsidR="00E762F5">
        <w:t>self</w:t>
      </w:r>
      <w:r w:rsidR="00E762F5" w:rsidRPr="00561AA8">
        <w:t>-audits</w:t>
      </w:r>
      <w:r w:rsidRPr="00561AA8">
        <w:t xml:space="preserve"> is described in Appendix 2.</w:t>
      </w:r>
    </w:p>
    <w:p w14:paraId="115194FE" w14:textId="60299AA5" w:rsidR="006F6B6E" w:rsidRPr="00561AA8" w:rsidRDefault="006F6B6E" w:rsidP="00561AA8">
      <w:pPr>
        <w:spacing w:before="120" w:after="120"/>
      </w:pPr>
    </w:p>
    <w:p w14:paraId="01CD7DCA" w14:textId="6ECDB310" w:rsidR="006F6B6E" w:rsidRPr="00F160AC" w:rsidRDefault="003D08E3" w:rsidP="00561AA8">
      <w:pPr>
        <w:pStyle w:val="Heading3"/>
        <w:spacing w:before="120" w:after="120"/>
        <w:rPr>
          <w:rFonts w:cstheme="minorHAnsi"/>
        </w:rPr>
      </w:pPr>
      <w:r w:rsidRPr="00F160AC">
        <w:rPr>
          <w:rFonts w:cstheme="minorHAnsi"/>
        </w:rPr>
        <w:t>5.</w:t>
      </w:r>
      <w:r w:rsidR="00B44D22" w:rsidRPr="00F160AC">
        <w:rPr>
          <w:rFonts w:cstheme="minorHAnsi"/>
        </w:rPr>
        <w:t>2.</w:t>
      </w:r>
      <w:r w:rsidR="001320D4" w:rsidRPr="00F160AC">
        <w:rPr>
          <w:rFonts w:cstheme="minorHAnsi"/>
        </w:rPr>
        <w:t>4 Conduct of</w:t>
      </w:r>
      <w:r w:rsidRPr="00F160AC">
        <w:rPr>
          <w:rFonts w:cstheme="minorHAnsi"/>
        </w:rPr>
        <w:t xml:space="preserve"> </w:t>
      </w:r>
      <w:r w:rsidR="00420080" w:rsidRPr="00F160AC">
        <w:rPr>
          <w:rFonts w:cstheme="minorHAnsi"/>
        </w:rPr>
        <w:t xml:space="preserve">Research </w:t>
      </w:r>
      <w:r w:rsidR="00E37402" w:rsidRPr="00F160AC">
        <w:rPr>
          <w:rFonts w:cstheme="minorHAnsi"/>
        </w:rPr>
        <w:t xml:space="preserve">Procedural and Themed </w:t>
      </w:r>
      <w:r w:rsidR="006F6B6E" w:rsidRPr="00F160AC">
        <w:rPr>
          <w:rFonts w:cstheme="minorHAnsi"/>
        </w:rPr>
        <w:t>Audits</w:t>
      </w:r>
    </w:p>
    <w:p w14:paraId="02D3AB78" w14:textId="7E947B63" w:rsidR="00E37402" w:rsidRPr="00561AA8" w:rsidRDefault="00E37402" w:rsidP="00561AA8">
      <w:pPr>
        <w:spacing w:before="120" w:after="120"/>
      </w:pPr>
      <w:r w:rsidRPr="00561AA8">
        <w:t>The processes for the conduct of procedural and themed audits will be determined based on the purpose, scope of the audits.</w:t>
      </w:r>
    </w:p>
    <w:p w14:paraId="0D65D258" w14:textId="5692D292" w:rsidR="00E37402" w:rsidRPr="00717133" w:rsidRDefault="00E37402" w:rsidP="00561AA8">
      <w:pPr>
        <w:spacing w:before="120" w:after="120"/>
      </w:pPr>
      <w:r w:rsidRPr="00561AA8">
        <w:t xml:space="preserve">Procedural and themed audits may include, but are not limited to, obtaining Epworth research governance authorisation and other approvals, regulatory requirements (i.e., Therapeutics Goods Administration requirements), consent and consenting procedures, SAE reporting, drug storage, documentation of a </w:t>
      </w:r>
      <w:r w:rsidR="00717133">
        <w:t>study</w:t>
      </w:r>
      <w:r w:rsidRPr="00717133">
        <w:t>, training processes and compliance etc.</w:t>
      </w:r>
    </w:p>
    <w:p w14:paraId="74629007" w14:textId="2888FC5E" w:rsidR="00E37402" w:rsidRPr="00E612E7" w:rsidRDefault="006D47B9" w:rsidP="00561AA8">
      <w:pPr>
        <w:spacing w:before="120" w:after="120"/>
        <w:rPr>
          <w:b/>
        </w:rPr>
      </w:pPr>
      <w:proofErr w:type="spellStart"/>
      <w:r>
        <w:t>O</w:t>
      </w:r>
      <w:r w:rsidR="000E5477">
        <w:t>f</w:t>
      </w:r>
      <w:r>
        <w:t>R</w:t>
      </w:r>
      <w:proofErr w:type="spellEnd"/>
      <w:r w:rsidR="00E37402" w:rsidRPr="00047BAE">
        <w:t xml:space="preserve"> staff will liaise with</w:t>
      </w:r>
      <w:r w:rsidR="00E37402" w:rsidRPr="00E612E7">
        <w:t xml:space="preserve"> relevant staff across the organisation as required to request assistance for the conduct of procedural and themed audits. This may include requests for feedback on processes, participation in focus groups/meetings and documentation.</w:t>
      </w:r>
    </w:p>
    <w:p w14:paraId="56DC1378" w14:textId="646A2CDB" w:rsidR="00E865B9" w:rsidRPr="00E612E7" w:rsidRDefault="00E865B9" w:rsidP="00561AA8">
      <w:pPr>
        <w:spacing w:before="120" w:after="120"/>
      </w:pPr>
      <w:r w:rsidRPr="00E612E7">
        <w:t>The process for conduct of on-site audits is described in Appendix 3.</w:t>
      </w:r>
    </w:p>
    <w:p w14:paraId="48AE03FE" w14:textId="77777777" w:rsidR="00E865B9" w:rsidRPr="00561AA8" w:rsidRDefault="00E865B9" w:rsidP="00561AA8">
      <w:pPr>
        <w:spacing w:before="120" w:after="120"/>
      </w:pPr>
    </w:p>
    <w:p w14:paraId="3B17DF2B" w14:textId="480999D6" w:rsidR="006F6B6E" w:rsidRPr="00F160AC" w:rsidRDefault="003D08E3" w:rsidP="00561AA8">
      <w:pPr>
        <w:pStyle w:val="Heading3"/>
        <w:spacing w:before="120" w:after="120"/>
        <w:rPr>
          <w:rFonts w:cstheme="minorHAnsi"/>
        </w:rPr>
      </w:pPr>
      <w:r w:rsidRPr="00F160AC">
        <w:rPr>
          <w:rFonts w:cstheme="minorHAnsi"/>
        </w:rPr>
        <w:t>5.</w:t>
      </w:r>
      <w:r w:rsidR="00B44D22" w:rsidRPr="00F160AC">
        <w:rPr>
          <w:rFonts w:cstheme="minorHAnsi"/>
        </w:rPr>
        <w:t>2.</w:t>
      </w:r>
      <w:r w:rsidR="001916D9">
        <w:rPr>
          <w:rFonts w:cstheme="minorHAnsi"/>
        </w:rPr>
        <w:t>5</w:t>
      </w:r>
      <w:r w:rsidRPr="00F160AC">
        <w:rPr>
          <w:rFonts w:cstheme="minorHAnsi"/>
        </w:rPr>
        <w:t xml:space="preserve"> </w:t>
      </w:r>
      <w:r w:rsidR="00420080" w:rsidRPr="00F160AC">
        <w:rPr>
          <w:rFonts w:cstheme="minorHAnsi"/>
        </w:rPr>
        <w:t>Research</w:t>
      </w:r>
      <w:r w:rsidR="006F6B6E" w:rsidRPr="00F160AC">
        <w:rPr>
          <w:rFonts w:cstheme="minorHAnsi"/>
        </w:rPr>
        <w:t xml:space="preserve"> Vendor Audits</w:t>
      </w:r>
    </w:p>
    <w:p w14:paraId="46FF32B0" w14:textId="0FB30509" w:rsidR="00EB0042" w:rsidRPr="00561AA8" w:rsidRDefault="006F6B6E" w:rsidP="00561AA8">
      <w:pPr>
        <w:spacing w:before="120" w:after="120"/>
      </w:pPr>
      <w:r w:rsidRPr="00561AA8">
        <w:t xml:space="preserve">As part of the oversight process for vendors, audits of vendors may occur to initially determine whether to use the vendor as well as determining their ongoing suitability for </w:t>
      </w:r>
      <w:r w:rsidR="00420080" w:rsidRPr="00561AA8">
        <w:t xml:space="preserve">research and </w:t>
      </w:r>
      <w:r w:rsidRPr="00561AA8">
        <w:t>clinical trial work.</w:t>
      </w:r>
      <w:r w:rsidR="00EB0042" w:rsidRPr="00561AA8">
        <w:t xml:space="preserve"> Research and Clinical trial vendors who may be audited include, but are not limited to, vendors providing research and clinical trial services of imaging, data collection/management, pathology and pharmacy.</w:t>
      </w:r>
    </w:p>
    <w:p w14:paraId="1D645C44" w14:textId="2A467060" w:rsidR="00420080" w:rsidRPr="00561AA8" w:rsidRDefault="004D5FD9" w:rsidP="00561AA8">
      <w:pPr>
        <w:spacing w:before="120" w:after="120"/>
      </w:pPr>
      <w:r w:rsidRPr="00561AA8">
        <w:t>The</w:t>
      </w:r>
      <w:r w:rsidR="006F6B6E" w:rsidRPr="00561AA8">
        <w:t xml:space="preserve"> </w:t>
      </w:r>
      <w:proofErr w:type="spellStart"/>
      <w:r w:rsidR="006D47B9">
        <w:t>O</w:t>
      </w:r>
      <w:r w:rsidR="000E5477">
        <w:t>f</w:t>
      </w:r>
      <w:r w:rsidR="006D47B9">
        <w:t>R</w:t>
      </w:r>
      <w:proofErr w:type="spellEnd"/>
      <w:r w:rsidR="00420080" w:rsidRPr="00561AA8">
        <w:t xml:space="preserve"> will determine the frequency and scope for Vendor Audits in liaison with the Group Director of Research and Development, and </w:t>
      </w:r>
      <w:r w:rsidR="00CC673F">
        <w:t xml:space="preserve">Group Director </w:t>
      </w:r>
      <w:r w:rsidR="00420080" w:rsidRPr="00561AA8">
        <w:t>Clinical Governance (as required).</w:t>
      </w:r>
    </w:p>
    <w:p w14:paraId="096E719D" w14:textId="6B51DEA0" w:rsidR="00EB0042" w:rsidRPr="00561AA8" w:rsidRDefault="00EB0042" w:rsidP="00561AA8">
      <w:pPr>
        <w:spacing w:before="120" w:after="120"/>
      </w:pPr>
      <w:r w:rsidRPr="00561AA8">
        <w:t xml:space="preserve">The process for conduct of vendor </w:t>
      </w:r>
      <w:r w:rsidR="00E37402" w:rsidRPr="00561AA8">
        <w:t xml:space="preserve">audits </w:t>
      </w:r>
      <w:r w:rsidRPr="00561AA8">
        <w:t xml:space="preserve">is described in Appendix </w:t>
      </w:r>
      <w:r w:rsidR="00E762F5">
        <w:t>3</w:t>
      </w:r>
      <w:r w:rsidRPr="00561AA8">
        <w:t>.</w:t>
      </w:r>
    </w:p>
    <w:p w14:paraId="6579B700" w14:textId="77777777" w:rsidR="00EB0042" w:rsidRPr="00561AA8" w:rsidRDefault="00EB0042" w:rsidP="00561AA8">
      <w:pPr>
        <w:spacing w:before="120" w:after="120"/>
      </w:pPr>
    </w:p>
    <w:p w14:paraId="68562D30" w14:textId="01026213" w:rsidR="00B44D22" w:rsidRPr="00B83151" w:rsidRDefault="00B44D22" w:rsidP="00561AA8">
      <w:pPr>
        <w:pStyle w:val="Heading3"/>
        <w:spacing w:before="120" w:after="120"/>
        <w:rPr>
          <w:rFonts w:cstheme="minorHAnsi"/>
        </w:rPr>
      </w:pPr>
      <w:r w:rsidRPr="00561AA8">
        <w:rPr>
          <w:rFonts w:cstheme="minorHAnsi"/>
        </w:rPr>
        <w:t>5.</w:t>
      </w:r>
      <w:r w:rsidR="00D01143" w:rsidRPr="00561AA8">
        <w:rPr>
          <w:rFonts w:cstheme="minorHAnsi"/>
        </w:rPr>
        <w:t>3</w:t>
      </w:r>
      <w:r w:rsidRPr="00FA2413">
        <w:rPr>
          <w:rFonts w:cstheme="minorHAnsi"/>
        </w:rPr>
        <w:t xml:space="preserve"> </w:t>
      </w:r>
      <w:r w:rsidR="00D01143" w:rsidRPr="00FA2413">
        <w:rPr>
          <w:rFonts w:cstheme="minorHAnsi"/>
        </w:rPr>
        <w:t>Preparation, Approval and Distribution of the</w:t>
      </w:r>
      <w:r w:rsidRPr="00FA2413">
        <w:rPr>
          <w:rFonts w:cstheme="minorHAnsi"/>
        </w:rPr>
        <w:t xml:space="preserve"> </w:t>
      </w:r>
      <w:r w:rsidR="00D01143" w:rsidRPr="00FA2413">
        <w:rPr>
          <w:rFonts w:cstheme="minorHAnsi"/>
        </w:rPr>
        <w:t>A</w:t>
      </w:r>
      <w:r w:rsidRPr="00B83151">
        <w:rPr>
          <w:rFonts w:cstheme="minorHAnsi"/>
        </w:rPr>
        <w:t xml:space="preserve">udit </w:t>
      </w:r>
      <w:r w:rsidR="00D01143" w:rsidRPr="00B83151">
        <w:rPr>
          <w:rFonts w:cstheme="minorHAnsi"/>
        </w:rPr>
        <w:t>R</w:t>
      </w:r>
      <w:r w:rsidRPr="00B83151">
        <w:rPr>
          <w:rFonts w:cstheme="minorHAnsi"/>
        </w:rPr>
        <w:t xml:space="preserve">eport </w:t>
      </w:r>
    </w:p>
    <w:p w14:paraId="254AF358" w14:textId="3ED69277" w:rsidR="006F6B6E" w:rsidRPr="00E612E7" w:rsidRDefault="006F6B6E" w:rsidP="00561AA8">
      <w:pPr>
        <w:spacing w:before="120" w:after="120"/>
      </w:pPr>
      <w:r w:rsidRPr="00047BAE">
        <w:t xml:space="preserve">The </w:t>
      </w:r>
      <w:proofErr w:type="spellStart"/>
      <w:r w:rsidR="006D47B9">
        <w:t>O</w:t>
      </w:r>
      <w:r w:rsidR="000E5477">
        <w:t>f</w:t>
      </w:r>
      <w:r w:rsidR="006D47B9">
        <w:t>R</w:t>
      </w:r>
      <w:proofErr w:type="spellEnd"/>
      <w:r w:rsidR="00D01143" w:rsidRPr="00E612E7">
        <w:t xml:space="preserve"> </w:t>
      </w:r>
      <w:r w:rsidRPr="00E612E7">
        <w:t>is responsible for the preparation of a draft audit report within 10 working days after the completion of the audit.  Audit observations will be classified as:</w:t>
      </w:r>
    </w:p>
    <w:p w14:paraId="47663516" w14:textId="11A2E1F5" w:rsidR="006F6B6E" w:rsidRPr="00717133" w:rsidRDefault="006F6B6E" w:rsidP="00561AA8">
      <w:pPr>
        <w:pStyle w:val="ListParagraph"/>
        <w:numPr>
          <w:ilvl w:val="0"/>
          <w:numId w:val="14"/>
        </w:numPr>
        <w:spacing w:before="120" w:after="120"/>
        <w:ind w:left="714" w:hanging="357"/>
        <w:contextualSpacing w:val="0"/>
      </w:pPr>
      <w:r w:rsidRPr="00E612E7">
        <w:rPr>
          <w:b/>
        </w:rPr>
        <w:t>Critical</w:t>
      </w:r>
      <w:r w:rsidRPr="00E612E7">
        <w:t xml:space="preserve">: Where significant and unjustified departure(s) from applicable regulatory requirements has occurred with evidence that (1) the safety or wellbeing of </w:t>
      </w:r>
      <w:r w:rsidR="00717133">
        <w:t>study</w:t>
      </w:r>
      <w:r w:rsidR="00717133" w:rsidRPr="00717133">
        <w:t xml:space="preserve"> </w:t>
      </w:r>
      <w:r w:rsidRPr="00047BAE">
        <w:t>participants either have been, or have significant potential to be, jeopardised and/or (2) the clinical data are unreliable.  Critical</w:t>
      </w:r>
      <w:r w:rsidRPr="00E612E7">
        <w:t xml:space="preserve"> observations may include serious breaches of the protocol or </w:t>
      </w:r>
      <w:r w:rsidR="003D08E3" w:rsidRPr="00E612E7">
        <w:t>GCP as defined in SOP-QA-02 (see Related Documents)</w:t>
      </w:r>
      <w:r w:rsidRPr="00E612E7">
        <w:t>.  Formal documented corrective and preventive actions are required as per SOP</w:t>
      </w:r>
      <w:r w:rsidR="001C23D9" w:rsidRPr="00E612E7">
        <w:t>-QA-02</w:t>
      </w:r>
      <w:r w:rsidRPr="00E612E7">
        <w:t xml:space="preserve">.  Immediate suspension of the practices or </w:t>
      </w:r>
      <w:r w:rsidR="00717133">
        <w:t xml:space="preserve">study </w:t>
      </w:r>
      <w:r w:rsidRPr="00717133">
        <w:t>may be required.  Immediate escalation to Epworth senior management is required.</w:t>
      </w:r>
    </w:p>
    <w:p w14:paraId="370F56B9" w14:textId="30C32DB3" w:rsidR="006F6B6E" w:rsidRPr="00E612E7" w:rsidRDefault="006F6B6E" w:rsidP="00561AA8">
      <w:pPr>
        <w:pStyle w:val="ListParagraph"/>
        <w:numPr>
          <w:ilvl w:val="0"/>
          <w:numId w:val="14"/>
        </w:numPr>
        <w:spacing w:before="120" w:after="120"/>
        <w:ind w:left="714" w:hanging="357"/>
        <w:contextualSpacing w:val="0"/>
      </w:pPr>
      <w:r w:rsidRPr="00047BAE">
        <w:rPr>
          <w:b/>
        </w:rPr>
        <w:lastRenderedPageBreak/>
        <w:t>Major</w:t>
      </w:r>
      <w:r w:rsidRPr="00E612E7">
        <w:t xml:space="preserve">: If not resolved or left unaddressed, the observation(s) could adversely impact the safety or wellbeing of </w:t>
      </w:r>
      <w:r w:rsidR="00717133">
        <w:t xml:space="preserve">study </w:t>
      </w:r>
      <w:r w:rsidRPr="00717133">
        <w:t xml:space="preserve">participants or the integrity or reliability of the site’s data.  Major observations may include serious </w:t>
      </w:r>
      <w:r w:rsidR="001C23D9" w:rsidRPr="00047BAE">
        <w:t xml:space="preserve">breaches of the protocol or </w:t>
      </w:r>
      <w:r w:rsidRPr="00E612E7">
        <w:t>GCP.  Formal documented corrective and preventive actions are required and site practices must be modified as per SOP</w:t>
      </w:r>
      <w:r w:rsidR="001C23D9" w:rsidRPr="00E612E7">
        <w:t>-QA-02</w:t>
      </w:r>
      <w:r w:rsidRPr="00E612E7">
        <w:t>.  Major observations may also include repeated or frequent occurrence of minor findings or known non-compliance which has not been corrected or the corrective action has been ineffective.</w:t>
      </w:r>
    </w:p>
    <w:p w14:paraId="627EC6DB" w14:textId="4ABD009F" w:rsidR="006F6B6E" w:rsidRPr="00717133" w:rsidRDefault="006F6B6E" w:rsidP="00561AA8">
      <w:pPr>
        <w:pStyle w:val="ListParagraph"/>
        <w:numPr>
          <w:ilvl w:val="0"/>
          <w:numId w:val="14"/>
        </w:numPr>
        <w:spacing w:before="120" w:after="120"/>
        <w:ind w:left="714" w:hanging="357"/>
        <w:contextualSpacing w:val="0"/>
      </w:pPr>
      <w:r w:rsidRPr="00E612E7">
        <w:rPr>
          <w:b/>
        </w:rPr>
        <w:t>Minor</w:t>
      </w:r>
      <w:r w:rsidRPr="00E612E7">
        <w:t xml:space="preserve">: Although requiring attention, the observation(s) would not significantly impact the integrity of the site’s data or jeopardise the safety or wellbeing of the </w:t>
      </w:r>
      <w:r w:rsidR="00717133">
        <w:t xml:space="preserve">study </w:t>
      </w:r>
      <w:r w:rsidRPr="00717133">
        <w:t xml:space="preserve">participants. Documentation of the deviation is required and site education or modification of site practices may be advisable.  Formal corrective action is required.  </w:t>
      </w:r>
    </w:p>
    <w:p w14:paraId="349F9C9F" w14:textId="77777777" w:rsidR="006F6B6E" w:rsidRPr="00E612E7" w:rsidRDefault="006F6B6E" w:rsidP="00561AA8">
      <w:pPr>
        <w:pStyle w:val="ListParagraph"/>
        <w:numPr>
          <w:ilvl w:val="0"/>
          <w:numId w:val="14"/>
        </w:numPr>
        <w:spacing w:before="120" w:after="120"/>
        <w:ind w:left="714" w:hanging="357"/>
        <w:contextualSpacing w:val="0"/>
      </w:pPr>
      <w:r w:rsidRPr="00047BAE">
        <w:rPr>
          <w:b/>
        </w:rPr>
        <w:t>Recommendations</w:t>
      </w:r>
      <w:r w:rsidRPr="00E612E7">
        <w:t>: A suggestion (not non-compliance) for improvement to a current process, procedure, operation and/or quality system.</w:t>
      </w:r>
    </w:p>
    <w:p w14:paraId="6A484A2A" w14:textId="77777777" w:rsidR="006F6B6E" w:rsidRPr="00E612E7" w:rsidRDefault="006F6B6E" w:rsidP="00561AA8">
      <w:pPr>
        <w:spacing w:before="120" w:after="120"/>
      </w:pPr>
      <w:r w:rsidRPr="00E612E7">
        <w:t>The audit</w:t>
      </w:r>
      <w:r w:rsidR="00171F00" w:rsidRPr="00E612E7">
        <w:t xml:space="preserve"> report will be reviewed by the Group </w:t>
      </w:r>
      <w:r w:rsidRPr="00E612E7">
        <w:t>Director of Research and Development within 10 working days of receipt from the auditor.</w:t>
      </w:r>
    </w:p>
    <w:p w14:paraId="72521541" w14:textId="4FECAA0A" w:rsidR="006F6B6E" w:rsidRDefault="006F6B6E" w:rsidP="00561AA8">
      <w:pPr>
        <w:spacing w:before="120" w:after="120"/>
      </w:pPr>
      <w:r w:rsidRPr="00E612E7">
        <w:t>The approved audit report will be d</w:t>
      </w:r>
      <w:r w:rsidRPr="003D2712">
        <w:t xml:space="preserve">istributed to the relevant auditees </w:t>
      </w:r>
      <w:r w:rsidR="003E2B46">
        <w:t>by</w:t>
      </w:r>
      <w:r w:rsidRPr="003D2712">
        <w:t xml:space="preserve"> the </w:t>
      </w:r>
      <w:r w:rsidR="001C23D9" w:rsidRPr="003D2712">
        <w:t>Research</w:t>
      </w:r>
      <w:r w:rsidRPr="00561AA8">
        <w:t xml:space="preserve"> Operations Manager.  </w:t>
      </w:r>
    </w:p>
    <w:p w14:paraId="4544146E" w14:textId="77777777" w:rsidR="001916D9" w:rsidRPr="00561AA8" w:rsidRDefault="001916D9" w:rsidP="00561AA8">
      <w:pPr>
        <w:spacing w:before="120" w:after="120"/>
      </w:pPr>
    </w:p>
    <w:p w14:paraId="14D8D79C" w14:textId="5F029227" w:rsidR="00FF640A" w:rsidRPr="00F160AC" w:rsidRDefault="001C23D9" w:rsidP="00561AA8">
      <w:pPr>
        <w:pStyle w:val="Heading3"/>
        <w:spacing w:before="120" w:after="120"/>
        <w:rPr>
          <w:rFonts w:cstheme="minorHAnsi"/>
        </w:rPr>
      </w:pPr>
      <w:r w:rsidRPr="00F160AC">
        <w:rPr>
          <w:rFonts w:cstheme="minorHAnsi"/>
        </w:rPr>
        <w:t>5.</w:t>
      </w:r>
      <w:r w:rsidR="001916D9">
        <w:rPr>
          <w:rFonts w:cstheme="minorHAnsi"/>
        </w:rPr>
        <w:t>4</w:t>
      </w:r>
      <w:r w:rsidRPr="00F160AC">
        <w:rPr>
          <w:rFonts w:cstheme="minorHAnsi"/>
        </w:rPr>
        <w:t xml:space="preserve"> </w:t>
      </w:r>
      <w:r w:rsidR="00FF640A" w:rsidRPr="00F160AC">
        <w:rPr>
          <w:rFonts w:cstheme="minorHAnsi"/>
        </w:rPr>
        <w:t xml:space="preserve">Auditee Response to the audit report </w:t>
      </w:r>
    </w:p>
    <w:p w14:paraId="3CD9A0BF" w14:textId="4333E011" w:rsidR="00A34A23" w:rsidRPr="00561AA8" w:rsidRDefault="006C5BE5" w:rsidP="003D0A6F">
      <w:pPr>
        <w:spacing w:before="120" w:after="120"/>
      </w:pPr>
      <w:r w:rsidRPr="00561AA8">
        <w:t xml:space="preserve">Internal auditees will be required to </w:t>
      </w:r>
      <w:r w:rsidR="00A34A23" w:rsidRPr="00561AA8">
        <w:t xml:space="preserve">review and </w:t>
      </w:r>
      <w:r w:rsidRPr="00561AA8">
        <w:t xml:space="preserve">provide a response to the audit report within </w:t>
      </w:r>
      <w:r w:rsidR="00A34A23" w:rsidRPr="00561AA8">
        <w:t>20</w:t>
      </w:r>
      <w:r w:rsidRPr="00561AA8">
        <w:t xml:space="preserve"> business days </w:t>
      </w:r>
      <w:r w:rsidR="00A34A23" w:rsidRPr="00561AA8">
        <w:t>from receipt o</w:t>
      </w:r>
      <w:r w:rsidRPr="00561AA8">
        <w:t xml:space="preserve">f </w:t>
      </w:r>
      <w:r w:rsidR="00A34A23" w:rsidRPr="00561AA8">
        <w:t>t</w:t>
      </w:r>
      <w:r w:rsidRPr="00561AA8">
        <w:t xml:space="preserve">he audit report </w:t>
      </w:r>
      <w:r w:rsidR="00A34A23" w:rsidRPr="00561AA8">
        <w:t>from the auditor.</w:t>
      </w:r>
    </w:p>
    <w:p w14:paraId="3437117A" w14:textId="2B88B18A" w:rsidR="00FF640A" w:rsidRPr="00561AA8" w:rsidRDefault="00A34A23" w:rsidP="003D0A6F">
      <w:pPr>
        <w:spacing w:before="120" w:after="120"/>
      </w:pPr>
      <w:r w:rsidRPr="00561AA8">
        <w:t>The response will include:</w:t>
      </w:r>
    </w:p>
    <w:p w14:paraId="63D85872" w14:textId="59A50DA5" w:rsidR="006C5BE5" w:rsidRPr="00561AA8" w:rsidRDefault="006C5BE5" w:rsidP="00561AA8">
      <w:pPr>
        <w:pStyle w:val="ListParagraph"/>
        <w:numPr>
          <w:ilvl w:val="0"/>
          <w:numId w:val="22"/>
        </w:numPr>
        <w:spacing w:before="120" w:after="120"/>
        <w:ind w:left="1560"/>
        <w:contextualSpacing w:val="0"/>
      </w:pPr>
      <w:r w:rsidRPr="00561AA8">
        <w:t>Acknowledgement of the findings by the Epworth PI</w:t>
      </w:r>
      <w:r w:rsidR="009B29B4">
        <w:t>.</w:t>
      </w:r>
    </w:p>
    <w:p w14:paraId="474DCF10" w14:textId="0DA3E6C2" w:rsidR="006C5BE5" w:rsidRPr="00561AA8" w:rsidRDefault="006C5BE5" w:rsidP="00561AA8">
      <w:pPr>
        <w:pStyle w:val="ListParagraph"/>
        <w:numPr>
          <w:ilvl w:val="0"/>
          <w:numId w:val="22"/>
        </w:numPr>
        <w:spacing w:before="120" w:after="120"/>
        <w:ind w:left="1560"/>
        <w:contextualSpacing w:val="0"/>
      </w:pPr>
      <w:r w:rsidRPr="00561AA8">
        <w:t>Responses to the findings appropriate to address the nature and rating of the finding.</w:t>
      </w:r>
    </w:p>
    <w:p w14:paraId="6691A7DE" w14:textId="2C094E48" w:rsidR="006C5BE5" w:rsidRPr="00561AA8" w:rsidRDefault="006C5BE5" w:rsidP="00561AA8">
      <w:pPr>
        <w:pStyle w:val="ListParagraph"/>
        <w:numPr>
          <w:ilvl w:val="0"/>
          <w:numId w:val="22"/>
        </w:numPr>
        <w:spacing w:before="120" w:after="120"/>
        <w:ind w:left="1560"/>
        <w:contextualSpacing w:val="0"/>
      </w:pPr>
      <w:r w:rsidRPr="00561AA8">
        <w:t>CAPA to manage all findings that require action (as per SOP-QA-02 Management of Serious Breaches and CAPA Process)</w:t>
      </w:r>
      <w:r w:rsidR="009B29B4">
        <w:t>.</w:t>
      </w:r>
    </w:p>
    <w:p w14:paraId="2F2FBF45" w14:textId="05070C70" w:rsidR="006C5BE5" w:rsidRPr="00561AA8" w:rsidRDefault="006C5BE5" w:rsidP="003E2B46">
      <w:pPr>
        <w:pStyle w:val="ListParagraph"/>
        <w:spacing w:before="120" w:after="120"/>
        <w:ind w:left="1080"/>
        <w:contextualSpacing w:val="0"/>
      </w:pPr>
    </w:p>
    <w:p w14:paraId="47FB9E98" w14:textId="288D56CD" w:rsidR="006C5BE5" w:rsidRPr="003E2B46" w:rsidRDefault="00A34A23" w:rsidP="00561AA8">
      <w:pPr>
        <w:spacing w:before="120" w:after="120"/>
        <w:rPr>
          <w:b/>
          <w:bCs/>
          <w:color w:val="2E74B5" w:themeColor="accent1" w:themeShade="BF"/>
          <w:u w:val="single"/>
        </w:rPr>
      </w:pPr>
      <w:r w:rsidRPr="003E2B46">
        <w:rPr>
          <w:b/>
          <w:bCs/>
          <w:color w:val="2E74B5" w:themeColor="accent1" w:themeShade="BF"/>
          <w:u w:val="single"/>
        </w:rPr>
        <w:t>5.</w:t>
      </w:r>
      <w:r w:rsidR="001916D9">
        <w:rPr>
          <w:b/>
          <w:bCs/>
          <w:color w:val="2E74B5" w:themeColor="accent1" w:themeShade="BF"/>
          <w:u w:val="single"/>
        </w:rPr>
        <w:t>5</w:t>
      </w:r>
      <w:r w:rsidRPr="003E2B46">
        <w:rPr>
          <w:b/>
          <w:bCs/>
          <w:color w:val="2E74B5" w:themeColor="accent1" w:themeShade="BF"/>
          <w:u w:val="single"/>
        </w:rPr>
        <w:t xml:space="preserve"> Closure of the Audit </w:t>
      </w:r>
    </w:p>
    <w:p w14:paraId="3ED1721D" w14:textId="77777777" w:rsidR="00A34A23" w:rsidRPr="00561AA8" w:rsidRDefault="00A34A23" w:rsidP="00561AA8">
      <w:pPr>
        <w:spacing w:before="120" w:after="120"/>
      </w:pPr>
      <w:r w:rsidRPr="00561AA8">
        <w:t>Once the auditor deems the responses to the audit report are adequate, the auditor will finalise the audit report and close the audit.</w:t>
      </w:r>
    </w:p>
    <w:p w14:paraId="0413A119" w14:textId="3285ACCC" w:rsidR="00A34A23" w:rsidRPr="00561AA8" w:rsidRDefault="00A34A23" w:rsidP="00561AA8">
      <w:pPr>
        <w:spacing w:before="120" w:after="120"/>
      </w:pPr>
      <w:r w:rsidRPr="00561AA8">
        <w:t xml:space="preserve">Final, signed audit reports will be stored securely with restricted access in the </w:t>
      </w:r>
      <w:proofErr w:type="spellStart"/>
      <w:r w:rsidR="006D47B9">
        <w:t>O</w:t>
      </w:r>
      <w:r w:rsidR="000E5477">
        <w:t>f</w:t>
      </w:r>
      <w:r w:rsidR="006D47B9">
        <w:t>R</w:t>
      </w:r>
      <w:proofErr w:type="spellEnd"/>
      <w:r w:rsidRPr="00561AA8">
        <w:t>.</w:t>
      </w:r>
    </w:p>
    <w:p w14:paraId="0E9CF8FD" w14:textId="77777777" w:rsidR="00D01143" w:rsidRPr="00561AA8" w:rsidRDefault="00D01143" w:rsidP="00561AA8">
      <w:pPr>
        <w:spacing w:before="120" w:after="120"/>
      </w:pPr>
    </w:p>
    <w:p w14:paraId="1C47FD49" w14:textId="460A840B" w:rsidR="006F6B6E" w:rsidRPr="00F160AC" w:rsidRDefault="00A34A23" w:rsidP="00561AA8">
      <w:pPr>
        <w:pStyle w:val="Heading3"/>
        <w:spacing w:before="120" w:after="120"/>
        <w:rPr>
          <w:rFonts w:cstheme="minorHAnsi"/>
        </w:rPr>
      </w:pPr>
      <w:r w:rsidRPr="00F160AC">
        <w:rPr>
          <w:rFonts w:cstheme="minorHAnsi"/>
        </w:rPr>
        <w:t>5.</w:t>
      </w:r>
      <w:r w:rsidR="001916D9">
        <w:rPr>
          <w:rFonts w:cstheme="minorHAnsi"/>
        </w:rPr>
        <w:t>6</w:t>
      </w:r>
      <w:r w:rsidRPr="00F160AC">
        <w:rPr>
          <w:rFonts w:cstheme="minorHAnsi"/>
        </w:rPr>
        <w:t xml:space="preserve"> </w:t>
      </w:r>
      <w:r w:rsidR="006F6B6E" w:rsidRPr="00F160AC">
        <w:rPr>
          <w:rFonts w:cstheme="minorHAnsi"/>
        </w:rPr>
        <w:t>Sharing Audit Observations with Sponsors</w:t>
      </w:r>
    </w:p>
    <w:p w14:paraId="68AA78FB" w14:textId="77777777" w:rsidR="00C47068" w:rsidRDefault="006F6B6E" w:rsidP="00561AA8">
      <w:pPr>
        <w:spacing w:before="120" w:after="120"/>
      </w:pPr>
      <w:r w:rsidRPr="00561AA8">
        <w:t xml:space="preserve">The audit report and responses from internal Epworth audits </w:t>
      </w:r>
      <w:r w:rsidR="00C47068">
        <w:t>should</w:t>
      </w:r>
      <w:r w:rsidRPr="00561AA8">
        <w:t xml:space="preserve"> not generally be distributed to external trial Sponsors.  </w:t>
      </w:r>
    </w:p>
    <w:p w14:paraId="10CC93BE" w14:textId="119DAAB4" w:rsidR="004D23CA" w:rsidRDefault="006F6B6E" w:rsidP="00561AA8">
      <w:pPr>
        <w:spacing w:before="120" w:after="120"/>
      </w:pPr>
      <w:r w:rsidRPr="00561AA8">
        <w:t xml:space="preserve">It is the responsibility of the </w:t>
      </w:r>
      <w:r w:rsidR="001C23D9" w:rsidRPr="00561AA8">
        <w:t>CTC</w:t>
      </w:r>
      <w:r w:rsidRPr="00561AA8">
        <w:t xml:space="preserve"> and/or the </w:t>
      </w:r>
      <w:r w:rsidR="001C23D9" w:rsidRPr="00561AA8">
        <w:t>PI</w:t>
      </w:r>
      <w:r w:rsidRPr="00561AA8">
        <w:t xml:space="preserve"> to communicate with the Sponsor on the audit observations in line with trial-specific requirements.  Issues confirmed as critical must be escalated to the Sponsor immediately.</w:t>
      </w:r>
    </w:p>
    <w:p w14:paraId="18C13273" w14:textId="77777777" w:rsidR="00CA2EC3" w:rsidRDefault="00CA2EC3" w:rsidP="00561AA8">
      <w:pPr>
        <w:spacing w:before="120" w:after="120"/>
      </w:pPr>
    </w:p>
    <w:p w14:paraId="543FCCD4" w14:textId="563CB0AD" w:rsidR="00CA2EC3" w:rsidRPr="00F160AC" w:rsidRDefault="00CA2EC3" w:rsidP="00CA2EC3">
      <w:pPr>
        <w:pStyle w:val="Heading3"/>
        <w:spacing w:before="120" w:after="120"/>
        <w:rPr>
          <w:rFonts w:cstheme="minorHAnsi"/>
        </w:rPr>
      </w:pPr>
      <w:r w:rsidRPr="00F160AC">
        <w:rPr>
          <w:rFonts w:cstheme="minorHAnsi"/>
        </w:rPr>
        <w:lastRenderedPageBreak/>
        <w:t>5.</w:t>
      </w:r>
      <w:r w:rsidR="001916D9">
        <w:rPr>
          <w:rFonts w:cstheme="minorHAnsi"/>
        </w:rPr>
        <w:t>7</w:t>
      </w:r>
      <w:r w:rsidRPr="00F160AC">
        <w:rPr>
          <w:rFonts w:cstheme="minorHAnsi"/>
        </w:rPr>
        <w:t xml:space="preserve"> </w:t>
      </w:r>
      <w:r>
        <w:rPr>
          <w:rFonts w:cstheme="minorHAnsi"/>
        </w:rPr>
        <w:t>Reporting</w:t>
      </w:r>
      <w:r w:rsidRPr="00F160AC">
        <w:rPr>
          <w:rFonts w:cstheme="minorHAnsi"/>
        </w:rPr>
        <w:t xml:space="preserve"> Audit </w:t>
      </w:r>
      <w:r>
        <w:rPr>
          <w:rFonts w:cstheme="minorHAnsi"/>
        </w:rPr>
        <w:t xml:space="preserve">outcomes </w:t>
      </w:r>
    </w:p>
    <w:p w14:paraId="50856D31" w14:textId="77777777" w:rsidR="00CA2EC3" w:rsidRDefault="00CA2EC3" w:rsidP="00561AA8">
      <w:pPr>
        <w:spacing w:before="120" w:after="120"/>
      </w:pPr>
      <w:r>
        <w:t>Audit outcomes will be reported</w:t>
      </w:r>
      <w:r w:rsidRPr="00CA2EC3">
        <w:t xml:space="preserve"> </w:t>
      </w:r>
      <w:r>
        <w:t>at least quarterly to:</w:t>
      </w:r>
    </w:p>
    <w:p w14:paraId="5483D7B6" w14:textId="77777777" w:rsidR="00CA2EC3" w:rsidRPr="00CC673F" w:rsidRDefault="00CA2EC3" w:rsidP="00CA2EC3">
      <w:pPr>
        <w:pStyle w:val="ListParagraph"/>
        <w:numPr>
          <w:ilvl w:val="0"/>
          <w:numId w:val="30"/>
        </w:numPr>
        <w:spacing w:before="120" w:after="120"/>
        <w:rPr>
          <w:rStyle w:val="Strong"/>
          <w:b w:val="0"/>
          <w:bCs w:val="0"/>
        </w:rPr>
      </w:pPr>
      <w:r w:rsidRPr="003E2B46">
        <w:rPr>
          <w:rStyle w:val="Strong"/>
          <w:b w:val="0"/>
          <w:bCs w:val="0"/>
          <w:spacing w:val="3"/>
          <w:bdr w:val="none" w:sz="0" w:space="0" w:color="auto" w:frame="1"/>
          <w:shd w:val="clear" w:color="auto" w:fill="FFFFFF"/>
        </w:rPr>
        <w:t>Group Director of Research and Development</w:t>
      </w:r>
    </w:p>
    <w:p w14:paraId="2D08EA4B" w14:textId="77777777" w:rsidR="00CA2EC3" w:rsidRDefault="00CA2EC3" w:rsidP="00CA2EC3">
      <w:pPr>
        <w:pStyle w:val="ListParagraph"/>
        <w:numPr>
          <w:ilvl w:val="0"/>
          <w:numId w:val="30"/>
        </w:numPr>
        <w:spacing w:before="120" w:after="120"/>
      </w:pPr>
      <w:r w:rsidRPr="00CA2EC3">
        <w:t>Chief Medical Officer</w:t>
      </w:r>
    </w:p>
    <w:p w14:paraId="7D642C07" w14:textId="2EED8A27" w:rsidR="00CA2EC3" w:rsidRDefault="00CA2EC3" w:rsidP="00CA2EC3">
      <w:pPr>
        <w:pStyle w:val="ListParagraph"/>
        <w:numPr>
          <w:ilvl w:val="0"/>
          <w:numId w:val="30"/>
        </w:numPr>
        <w:spacing w:before="120" w:after="120"/>
      </w:pPr>
      <w:r>
        <w:t>Group Research Governance Committee</w:t>
      </w:r>
    </w:p>
    <w:p w14:paraId="0D0BDE49" w14:textId="77777777" w:rsidR="00CA2EC3" w:rsidRDefault="00CA2EC3" w:rsidP="00CA2EC3">
      <w:pPr>
        <w:pStyle w:val="ListParagraph"/>
        <w:numPr>
          <w:ilvl w:val="0"/>
          <w:numId w:val="30"/>
        </w:numPr>
        <w:spacing w:before="120" w:after="120"/>
      </w:pPr>
      <w:r>
        <w:t>Patient Care Committee</w:t>
      </w:r>
    </w:p>
    <w:p w14:paraId="695937AB" w14:textId="3DF4111D" w:rsidR="00CA2EC3" w:rsidRDefault="00CA2EC3" w:rsidP="00CA2EC3">
      <w:pPr>
        <w:pStyle w:val="ListParagraph"/>
        <w:numPr>
          <w:ilvl w:val="0"/>
          <w:numId w:val="30"/>
        </w:numPr>
        <w:spacing w:before="120" w:after="120"/>
      </w:pPr>
      <w:r>
        <w:t>Other committees as required.</w:t>
      </w:r>
    </w:p>
    <w:p w14:paraId="700F3B72" w14:textId="0816AF8C" w:rsidR="00CA2EC3" w:rsidRPr="00CA2EC3" w:rsidRDefault="00CA2EC3" w:rsidP="00561AA8">
      <w:pPr>
        <w:spacing w:before="120" w:after="120"/>
      </w:pPr>
      <w:r w:rsidRPr="00CA2EC3">
        <w:t xml:space="preserve">Issues confirmed as critical must be escalated to the </w:t>
      </w:r>
      <w:r w:rsidRPr="003D0A6F">
        <w:t>Group Director of Research and Development,</w:t>
      </w:r>
      <w:r w:rsidRPr="00CA2EC3">
        <w:rPr>
          <w:rStyle w:val="Strong"/>
          <w:b w:val="0"/>
          <w:bCs w:val="0"/>
          <w:color w:val="455560"/>
          <w:spacing w:val="3"/>
          <w:bdr w:val="none" w:sz="0" w:space="0" w:color="auto" w:frame="1"/>
          <w:shd w:val="clear" w:color="auto" w:fill="FFFFFF"/>
        </w:rPr>
        <w:t xml:space="preserve"> and</w:t>
      </w:r>
      <w:r w:rsidRPr="00CA2EC3">
        <w:t xml:space="preserve"> Chief Medical Officer immediately.</w:t>
      </w:r>
    </w:p>
    <w:p w14:paraId="4F7CF54A" w14:textId="7BE735FE" w:rsidR="00CA2EC3" w:rsidRDefault="00CA2EC3" w:rsidP="00561AA8">
      <w:pPr>
        <w:spacing w:before="120" w:after="120"/>
      </w:pPr>
      <w:r>
        <w:t>Outcomes of audits will be analysed at least annually and will be reported to the Chief Medical Officer and internal committees as required.</w:t>
      </w:r>
    </w:p>
    <w:p w14:paraId="17D8D65E" w14:textId="65C49D52" w:rsidR="00CA2EC3" w:rsidRDefault="00CA2EC3" w:rsidP="00561AA8">
      <w:pPr>
        <w:spacing w:before="120" w:after="120"/>
      </w:pPr>
      <w:r>
        <w:t>Analysed audit outcomes will be reported to clinical trial teams via meetings, forums (including the Clinical Trial Meetings) and Research Matters newsletters.</w:t>
      </w:r>
    </w:p>
    <w:p w14:paraId="53A96F31" w14:textId="2E0BF3AB" w:rsidR="00CA2EC3" w:rsidRPr="00717133" w:rsidRDefault="00CA2EC3" w:rsidP="00561AA8">
      <w:pPr>
        <w:spacing w:before="120" w:after="120"/>
      </w:pPr>
    </w:p>
    <w:p w14:paraId="134C98AC" w14:textId="77777777" w:rsidR="005A22B1" w:rsidRPr="00561AA8" w:rsidRDefault="00C07267" w:rsidP="00561AA8">
      <w:pPr>
        <w:pStyle w:val="Heading2"/>
        <w:spacing w:before="120" w:after="120"/>
        <w:rPr>
          <w:rFonts w:asciiTheme="minorHAnsi" w:hAnsiTheme="minorHAnsi" w:cstheme="minorHAnsi"/>
        </w:rPr>
      </w:pPr>
      <w:r w:rsidRPr="00561AA8">
        <w:rPr>
          <w:rFonts w:asciiTheme="minorHAnsi" w:hAnsiTheme="minorHAnsi" w:cstheme="minorHAnsi"/>
        </w:rPr>
        <w:t>REFERENCES</w:t>
      </w:r>
      <w:r w:rsidR="003150C2" w:rsidRPr="00561AA8">
        <w:rPr>
          <w:rFonts w:asciiTheme="minorHAnsi" w:hAnsiTheme="minorHAnsi" w:cstheme="minorHAnsi"/>
        </w:rPr>
        <w:t>:</w:t>
      </w:r>
    </w:p>
    <w:p w14:paraId="7C89BE3F" w14:textId="77777777" w:rsidR="00B902E7" w:rsidRPr="00561AA8" w:rsidRDefault="004F2DB7" w:rsidP="00561AA8">
      <w:pPr>
        <w:spacing w:before="120" w:after="120"/>
        <w:ind w:left="426"/>
      </w:pPr>
      <w:r w:rsidRPr="00561AA8">
        <w:t xml:space="preserve">1. Integrated Addendum to ICH E6(R1): Guideline for Good Clinical Practice E6(R2) </w:t>
      </w:r>
      <w:hyperlink r:id="rId11" w:history="1">
        <w:r w:rsidRPr="00561AA8">
          <w:rPr>
            <w:rStyle w:val="Hyperlink"/>
          </w:rPr>
          <w:t>https://www.tga.gov.au/publication/note-guidance-good-clinical-practice</w:t>
        </w:r>
      </w:hyperlink>
      <w:r w:rsidRPr="00561AA8">
        <w:t xml:space="preserve"> </w:t>
      </w:r>
    </w:p>
    <w:p w14:paraId="4B5466D4" w14:textId="77777777" w:rsidR="005A22B1" w:rsidRPr="00561AA8" w:rsidRDefault="00B902E7" w:rsidP="00561AA8">
      <w:pPr>
        <w:pStyle w:val="Heading2"/>
        <w:spacing w:before="120" w:after="120"/>
        <w:rPr>
          <w:rFonts w:asciiTheme="minorHAnsi" w:hAnsiTheme="minorHAnsi" w:cstheme="minorHAnsi"/>
        </w:rPr>
      </w:pPr>
      <w:r w:rsidRPr="00561AA8">
        <w:rPr>
          <w:rFonts w:asciiTheme="minorHAnsi" w:hAnsiTheme="minorHAnsi" w:cstheme="minorHAnsi"/>
        </w:rPr>
        <w:t>RELATED DOCUMENTS</w:t>
      </w:r>
      <w:r w:rsidR="005A22B1" w:rsidRPr="00561AA8">
        <w:rPr>
          <w:rFonts w:asciiTheme="minorHAnsi" w:hAnsiTheme="minorHAnsi" w:cstheme="minorHAnsi"/>
        </w:rPr>
        <w:t>:</w:t>
      </w:r>
    </w:p>
    <w:p w14:paraId="27F8BA00" w14:textId="5097CC59" w:rsidR="008143DA" w:rsidRPr="00561AA8" w:rsidRDefault="008143DA" w:rsidP="00561AA8">
      <w:pPr>
        <w:pStyle w:val="Heading3"/>
        <w:spacing w:before="120" w:after="120"/>
        <w:rPr>
          <w:rFonts w:cstheme="minorHAnsi"/>
        </w:rPr>
      </w:pPr>
      <w:r w:rsidRPr="00561AA8">
        <w:rPr>
          <w:rFonts w:cstheme="minorHAnsi"/>
        </w:rPr>
        <w:t>7.1 Related Forms and Templates</w:t>
      </w:r>
    </w:p>
    <w:p w14:paraId="69DF1D95" w14:textId="7FA1625B" w:rsidR="0006669A" w:rsidRPr="00561AA8" w:rsidRDefault="00012927" w:rsidP="00561AA8">
      <w:pPr>
        <w:spacing w:before="120" w:after="120"/>
        <w:ind w:left="426"/>
      </w:pPr>
      <w:r w:rsidRPr="00561AA8">
        <w:t>N/A</w:t>
      </w:r>
    </w:p>
    <w:p w14:paraId="1FA4548C" w14:textId="6A874BB8" w:rsidR="008143DA" w:rsidRPr="00561AA8" w:rsidRDefault="008143DA" w:rsidP="00561AA8">
      <w:pPr>
        <w:pStyle w:val="Heading3"/>
        <w:spacing w:before="120" w:after="120"/>
        <w:rPr>
          <w:rFonts w:cstheme="minorHAnsi"/>
        </w:rPr>
      </w:pPr>
      <w:r w:rsidRPr="00561AA8">
        <w:rPr>
          <w:rFonts w:cstheme="minorHAnsi"/>
        </w:rPr>
        <w:t>7.2 Related SOPs</w:t>
      </w:r>
    </w:p>
    <w:p w14:paraId="75C4E51E" w14:textId="77777777" w:rsidR="003D08E3" w:rsidRPr="00561AA8" w:rsidRDefault="003D08E3" w:rsidP="00561AA8">
      <w:pPr>
        <w:pStyle w:val="ListParagraph"/>
        <w:numPr>
          <w:ilvl w:val="0"/>
          <w:numId w:val="16"/>
        </w:numPr>
        <w:spacing w:before="120" w:after="120"/>
        <w:ind w:left="714" w:hanging="357"/>
        <w:contextualSpacing w:val="0"/>
      </w:pPr>
      <w:r w:rsidRPr="00561AA8">
        <w:t>SOP-QA-02 Management of Serious Breaches and CAPA Process</w:t>
      </w:r>
    </w:p>
    <w:p w14:paraId="063B3142" w14:textId="75F33915" w:rsidR="00A052B3" w:rsidRDefault="00DD32CE" w:rsidP="00A052B3">
      <w:pPr>
        <w:pStyle w:val="Heading2"/>
        <w:spacing w:before="120" w:after="120"/>
        <w:rPr>
          <w:rFonts w:asciiTheme="minorHAnsi" w:hAnsiTheme="minorHAnsi" w:cstheme="minorHAnsi"/>
        </w:rPr>
      </w:pPr>
      <w:r w:rsidRPr="00561AA8">
        <w:rPr>
          <w:rFonts w:asciiTheme="minorHAnsi" w:hAnsiTheme="minorHAnsi" w:cstheme="minorHAnsi"/>
        </w:rPr>
        <w:t>VERSION CONTROL</w:t>
      </w:r>
    </w:p>
    <w:p w14:paraId="1AFB8743" w14:textId="77777777" w:rsidR="00A052B3" w:rsidRDefault="00A052B3" w:rsidP="00A052B3">
      <w:pPr>
        <w:pStyle w:val="Heading2"/>
        <w:spacing w:before="120" w:after="120"/>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49"/>
        <w:gridCol w:w="5945"/>
        <w:gridCol w:w="1852"/>
      </w:tblGrid>
      <w:tr w:rsidR="00A052B3" w14:paraId="7261D505" w14:textId="77777777" w:rsidTr="00320E55">
        <w:trPr>
          <w:trHeight w:val="432"/>
        </w:trPr>
        <w:tc>
          <w:tcPr>
            <w:tcW w:w="10060" w:type="dxa"/>
            <w:gridSpan w:val="4"/>
            <w:shd w:val="clear" w:color="auto" w:fill="2F5496" w:themeFill="accent5" w:themeFillShade="BF"/>
          </w:tcPr>
          <w:p w14:paraId="3E80E870" w14:textId="77777777" w:rsidR="00A052B3" w:rsidRPr="0062240F" w:rsidRDefault="00A052B3" w:rsidP="00320E55">
            <w:pPr>
              <w:spacing w:before="120" w:after="120"/>
              <w:rPr>
                <w:b/>
                <w:iCs/>
              </w:rPr>
            </w:pPr>
            <w:r w:rsidRPr="00366664">
              <w:rPr>
                <w:b/>
                <w:color w:val="FFFFFF" w:themeColor="background1"/>
              </w:rPr>
              <w:t>Document History</w:t>
            </w:r>
          </w:p>
        </w:tc>
      </w:tr>
      <w:tr w:rsidR="00A052B3" w14:paraId="31AC45C9" w14:textId="77777777" w:rsidTr="00320E55">
        <w:trPr>
          <w:trHeight w:val="432"/>
        </w:trPr>
        <w:tc>
          <w:tcPr>
            <w:tcW w:w="914" w:type="dxa"/>
            <w:shd w:val="clear" w:color="auto" w:fill="2F5496" w:themeFill="accent5" w:themeFillShade="BF"/>
          </w:tcPr>
          <w:p w14:paraId="2E3613D5" w14:textId="77777777" w:rsidR="00A052B3" w:rsidRPr="0062240F" w:rsidRDefault="00A052B3" w:rsidP="00320E55">
            <w:pPr>
              <w:spacing w:before="120" w:after="120"/>
              <w:jc w:val="center"/>
              <w:rPr>
                <w:b/>
                <w:iCs/>
              </w:rPr>
            </w:pPr>
            <w:r w:rsidRPr="00366664">
              <w:rPr>
                <w:b/>
                <w:color w:val="FFFFFF" w:themeColor="background1"/>
              </w:rPr>
              <w:t>Version</w:t>
            </w:r>
          </w:p>
        </w:tc>
        <w:tc>
          <w:tcPr>
            <w:tcW w:w="1349" w:type="dxa"/>
            <w:shd w:val="clear" w:color="auto" w:fill="2F5496" w:themeFill="accent5" w:themeFillShade="BF"/>
          </w:tcPr>
          <w:p w14:paraId="6BA3A552" w14:textId="77777777" w:rsidR="00A052B3" w:rsidRPr="0062240F" w:rsidRDefault="00A052B3" w:rsidP="00320E55">
            <w:pPr>
              <w:spacing w:before="120" w:after="120"/>
              <w:jc w:val="center"/>
              <w:rPr>
                <w:b/>
                <w:iCs/>
              </w:rPr>
            </w:pPr>
            <w:r>
              <w:rPr>
                <w:b/>
                <w:color w:val="FFFFFF" w:themeColor="background1"/>
              </w:rPr>
              <w:t>Date</w:t>
            </w:r>
          </w:p>
        </w:tc>
        <w:tc>
          <w:tcPr>
            <w:tcW w:w="5945" w:type="dxa"/>
            <w:shd w:val="clear" w:color="auto" w:fill="2F5496" w:themeFill="accent5" w:themeFillShade="BF"/>
          </w:tcPr>
          <w:p w14:paraId="000A3DEB" w14:textId="77777777" w:rsidR="00A052B3" w:rsidRPr="0062240F" w:rsidRDefault="00A052B3" w:rsidP="00320E55">
            <w:pPr>
              <w:spacing w:before="120" w:after="120"/>
              <w:jc w:val="center"/>
              <w:rPr>
                <w:b/>
                <w:iCs/>
              </w:rPr>
            </w:pPr>
            <w:r>
              <w:rPr>
                <w:b/>
                <w:color w:val="FFFFFF" w:themeColor="background1"/>
              </w:rPr>
              <w:t>Summary of Changes</w:t>
            </w:r>
          </w:p>
        </w:tc>
        <w:tc>
          <w:tcPr>
            <w:tcW w:w="1852" w:type="dxa"/>
            <w:shd w:val="clear" w:color="auto" w:fill="2F5496" w:themeFill="accent5" w:themeFillShade="BF"/>
          </w:tcPr>
          <w:p w14:paraId="23F60F0E" w14:textId="77777777" w:rsidR="00A052B3" w:rsidRPr="0062240F" w:rsidRDefault="00A052B3" w:rsidP="00320E55">
            <w:pPr>
              <w:spacing w:before="120" w:after="120"/>
              <w:jc w:val="center"/>
              <w:rPr>
                <w:b/>
                <w:iCs/>
              </w:rPr>
            </w:pPr>
            <w:r>
              <w:rPr>
                <w:b/>
                <w:color w:val="FFFFFF" w:themeColor="background1"/>
              </w:rPr>
              <w:t>Authors</w:t>
            </w:r>
          </w:p>
        </w:tc>
      </w:tr>
      <w:tr w:rsidR="00A052B3" w14:paraId="21B00246" w14:textId="77777777" w:rsidTr="00320E55">
        <w:trPr>
          <w:trHeight w:val="340"/>
        </w:trPr>
        <w:tc>
          <w:tcPr>
            <w:tcW w:w="914" w:type="dxa"/>
          </w:tcPr>
          <w:p w14:paraId="38FDEBE3" w14:textId="77777777" w:rsidR="00A052B3" w:rsidRPr="00F049E5" w:rsidRDefault="00A052B3" w:rsidP="00320E55">
            <w:pPr>
              <w:spacing w:before="120" w:after="120"/>
              <w:jc w:val="both"/>
            </w:pPr>
            <w:r w:rsidRPr="00561AA8">
              <w:t>1.0</w:t>
            </w:r>
          </w:p>
        </w:tc>
        <w:tc>
          <w:tcPr>
            <w:tcW w:w="1349" w:type="dxa"/>
          </w:tcPr>
          <w:p w14:paraId="004F4254" w14:textId="77777777" w:rsidR="00A052B3" w:rsidRPr="00F049E5" w:rsidRDefault="00A052B3" w:rsidP="00320E55">
            <w:pPr>
              <w:spacing w:before="120" w:after="120"/>
              <w:jc w:val="both"/>
            </w:pPr>
            <w:r>
              <w:t>26 APR 2019</w:t>
            </w:r>
          </w:p>
        </w:tc>
        <w:tc>
          <w:tcPr>
            <w:tcW w:w="5945" w:type="dxa"/>
          </w:tcPr>
          <w:p w14:paraId="7BB04257" w14:textId="77777777" w:rsidR="00A052B3" w:rsidRPr="00F049E5" w:rsidRDefault="00A052B3" w:rsidP="00320E55">
            <w:pPr>
              <w:spacing w:before="120" w:after="120"/>
              <w:jc w:val="both"/>
            </w:pPr>
            <w:r w:rsidRPr="00561AA8">
              <w:t>N/A First Issue</w:t>
            </w:r>
          </w:p>
        </w:tc>
        <w:tc>
          <w:tcPr>
            <w:tcW w:w="1852" w:type="dxa"/>
          </w:tcPr>
          <w:p w14:paraId="33EDFBCB" w14:textId="77777777" w:rsidR="00A052B3" w:rsidRPr="001772AB" w:rsidRDefault="00A052B3" w:rsidP="00320E55">
            <w:pPr>
              <w:autoSpaceDE/>
              <w:autoSpaceDN/>
              <w:adjustRightInd/>
              <w:spacing w:before="60" w:after="60"/>
              <w:rPr>
                <w:rFonts w:ascii="Calibri" w:hAnsi="Calibri" w:cs="Times New Roman"/>
                <w:szCs w:val="24"/>
              </w:rPr>
            </w:pPr>
            <w:r w:rsidRPr="001772AB">
              <w:rPr>
                <w:rFonts w:ascii="Calibri" w:hAnsi="Calibri" w:cs="Times New Roman"/>
                <w:szCs w:val="24"/>
              </w:rPr>
              <w:t>Helen Christensen</w:t>
            </w:r>
          </w:p>
          <w:p w14:paraId="4BE16A18" w14:textId="77777777" w:rsidR="00A052B3" w:rsidRPr="00F049E5" w:rsidRDefault="00A052B3" w:rsidP="00320E55">
            <w:pPr>
              <w:spacing w:after="0"/>
            </w:pPr>
            <w:r>
              <w:t>(RQC)</w:t>
            </w:r>
          </w:p>
        </w:tc>
      </w:tr>
      <w:tr w:rsidR="00A052B3" w14:paraId="552B7F6F" w14:textId="77777777" w:rsidTr="00320E55">
        <w:trPr>
          <w:trHeight w:val="340"/>
        </w:trPr>
        <w:tc>
          <w:tcPr>
            <w:tcW w:w="914" w:type="dxa"/>
          </w:tcPr>
          <w:p w14:paraId="7853EBF4" w14:textId="77777777" w:rsidR="00A052B3" w:rsidRPr="00F049E5" w:rsidRDefault="00A052B3" w:rsidP="00320E55">
            <w:pPr>
              <w:spacing w:before="120" w:after="120"/>
              <w:jc w:val="both"/>
            </w:pPr>
            <w:r w:rsidRPr="00561AA8">
              <w:t>2.0</w:t>
            </w:r>
          </w:p>
        </w:tc>
        <w:tc>
          <w:tcPr>
            <w:tcW w:w="1349" w:type="dxa"/>
          </w:tcPr>
          <w:p w14:paraId="468FD624" w14:textId="77777777" w:rsidR="00A052B3" w:rsidRDefault="00A052B3" w:rsidP="00320E55">
            <w:pPr>
              <w:autoSpaceDE/>
              <w:autoSpaceDN/>
              <w:adjustRightInd/>
              <w:spacing w:before="60" w:after="60"/>
              <w:rPr>
                <w:rFonts w:ascii="Calibri" w:hAnsi="Calibri" w:cs="Times New Roman"/>
                <w:szCs w:val="24"/>
              </w:rPr>
            </w:pPr>
            <w:r>
              <w:rPr>
                <w:rFonts w:ascii="Calibri" w:hAnsi="Calibri" w:cs="Times New Roman"/>
                <w:szCs w:val="24"/>
              </w:rPr>
              <w:t>23 Nov 2019</w:t>
            </w:r>
          </w:p>
          <w:p w14:paraId="17170F81" w14:textId="77777777" w:rsidR="00A052B3" w:rsidRPr="00F049E5" w:rsidRDefault="00A052B3" w:rsidP="00320E55">
            <w:pPr>
              <w:spacing w:before="120" w:after="120"/>
              <w:jc w:val="both"/>
            </w:pPr>
          </w:p>
        </w:tc>
        <w:tc>
          <w:tcPr>
            <w:tcW w:w="5945" w:type="dxa"/>
          </w:tcPr>
          <w:p w14:paraId="6ABA74F8" w14:textId="77777777" w:rsidR="00A052B3" w:rsidRPr="00561AA8" w:rsidRDefault="00A052B3" w:rsidP="00320E55">
            <w:pPr>
              <w:pStyle w:val="ListParagraph"/>
              <w:numPr>
                <w:ilvl w:val="0"/>
                <w:numId w:val="18"/>
              </w:numPr>
              <w:spacing w:before="120" w:after="120"/>
              <w:ind w:left="390"/>
              <w:contextualSpacing w:val="0"/>
            </w:pPr>
            <w:r w:rsidRPr="00561AA8">
              <w:t>Removal of reference to internal supporting templates.</w:t>
            </w:r>
          </w:p>
          <w:p w14:paraId="0E263546" w14:textId="77777777" w:rsidR="00A052B3" w:rsidRPr="00F049E5" w:rsidRDefault="00A052B3" w:rsidP="00320E55">
            <w:pPr>
              <w:spacing w:before="120" w:after="120"/>
              <w:jc w:val="both"/>
            </w:pPr>
            <w:r w:rsidRPr="00561AA8">
              <w:t>Minor formatting and grammatical corrections.</w:t>
            </w:r>
          </w:p>
        </w:tc>
        <w:tc>
          <w:tcPr>
            <w:tcW w:w="1852" w:type="dxa"/>
          </w:tcPr>
          <w:p w14:paraId="6AD67679" w14:textId="77777777" w:rsidR="00A052B3" w:rsidRPr="001772AB" w:rsidRDefault="00A052B3" w:rsidP="00320E55">
            <w:pPr>
              <w:autoSpaceDE/>
              <w:autoSpaceDN/>
              <w:adjustRightInd/>
              <w:spacing w:before="60" w:after="60"/>
              <w:rPr>
                <w:rFonts w:ascii="Calibri" w:hAnsi="Calibri" w:cs="Times New Roman"/>
                <w:szCs w:val="24"/>
              </w:rPr>
            </w:pPr>
            <w:r w:rsidRPr="001772AB">
              <w:rPr>
                <w:rFonts w:ascii="Calibri" w:hAnsi="Calibri" w:cs="Times New Roman"/>
                <w:szCs w:val="24"/>
              </w:rPr>
              <w:t>Helen Christensen</w:t>
            </w:r>
          </w:p>
          <w:p w14:paraId="408BFB11" w14:textId="77777777" w:rsidR="00A052B3" w:rsidRPr="00F049E5" w:rsidRDefault="00A052B3" w:rsidP="00320E55">
            <w:pPr>
              <w:spacing w:after="0"/>
            </w:pPr>
            <w:r>
              <w:t>(RQC)</w:t>
            </w:r>
          </w:p>
        </w:tc>
      </w:tr>
      <w:tr w:rsidR="00A052B3" w14:paraId="57B94CBE" w14:textId="77777777" w:rsidTr="00320E55">
        <w:trPr>
          <w:trHeight w:val="340"/>
        </w:trPr>
        <w:tc>
          <w:tcPr>
            <w:tcW w:w="914" w:type="dxa"/>
          </w:tcPr>
          <w:p w14:paraId="00C4B160" w14:textId="77777777" w:rsidR="00A052B3" w:rsidRPr="00F049E5" w:rsidRDefault="00A052B3" w:rsidP="00320E55">
            <w:pPr>
              <w:spacing w:before="120" w:after="120"/>
              <w:jc w:val="both"/>
            </w:pPr>
            <w:r w:rsidRPr="00561AA8">
              <w:t>3.0</w:t>
            </w:r>
          </w:p>
        </w:tc>
        <w:tc>
          <w:tcPr>
            <w:tcW w:w="1349" w:type="dxa"/>
          </w:tcPr>
          <w:p w14:paraId="14D56082" w14:textId="77777777" w:rsidR="00A052B3" w:rsidRPr="00F049E5" w:rsidRDefault="00A052B3" w:rsidP="00320E55">
            <w:pPr>
              <w:spacing w:before="120" w:after="120"/>
              <w:jc w:val="both"/>
            </w:pPr>
          </w:p>
        </w:tc>
        <w:tc>
          <w:tcPr>
            <w:tcW w:w="5945" w:type="dxa"/>
          </w:tcPr>
          <w:p w14:paraId="58E40A48" w14:textId="77777777" w:rsidR="00A052B3" w:rsidRDefault="00A052B3" w:rsidP="00320E55">
            <w:pPr>
              <w:pStyle w:val="ListParagraph"/>
              <w:numPr>
                <w:ilvl w:val="0"/>
                <w:numId w:val="18"/>
              </w:numPr>
              <w:spacing w:before="120" w:after="120"/>
              <w:ind w:left="390"/>
              <w:contextualSpacing w:val="0"/>
            </w:pPr>
            <w:r>
              <w:t>Update to current SOP template.</w:t>
            </w:r>
          </w:p>
          <w:p w14:paraId="3F6B5432" w14:textId="77777777" w:rsidR="00A052B3" w:rsidRDefault="00A052B3" w:rsidP="00320E55">
            <w:pPr>
              <w:pStyle w:val="ListParagraph"/>
              <w:numPr>
                <w:ilvl w:val="0"/>
                <w:numId w:val="18"/>
              </w:numPr>
              <w:spacing w:before="120" w:after="120"/>
              <w:ind w:left="390"/>
              <w:contextualSpacing w:val="0"/>
            </w:pPr>
            <w:r w:rsidRPr="00561AA8">
              <w:t xml:space="preserve">Update scope to clarify audits may be conducted on any research study conducted at Epworth, including quality assurance (QA) projects, non-HREC and HREC reviewed research </w:t>
            </w:r>
            <w:r>
              <w:t>studie</w:t>
            </w:r>
            <w:r w:rsidRPr="00561AA8">
              <w:t>s, and clinical trials.</w:t>
            </w:r>
            <w:r>
              <w:t xml:space="preserve"> Change trial to study/</w:t>
            </w:r>
            <w:proofErr w:type="spellStart"/>
            <w:r>
              <w:t>ies</w:t>
            </w:r>
            <w:proofErr w:type="spellEnd"/>
            <w:r>
              <w:t xml:space="preserve"> throughout the document.</w:t>
            </w:r>
          </w:p>
          <w:p w14:paraId="1389D0D8" w14:textId="77777777" w:rsidR="00A052B3" w:rsidRDefault="00A052B3" w:rsidP="00320E55">
            <w:pPr>
              <w:pStyle w:val="ListParagraph"/>
              <w:numPr>
                <w:ilvl w:val="0"/>
                <w:numId w:val="18"/>
              </w:numPr>
              <w:spacing w:before="120" w:after="120"/>
              <w:ind w:left="390"/>
              <w:contextualSpacing w:val="0"/>
            </w:pPr>
            <w:r>
              <w:lastRenderedPageBreak/>
              <w:t>Define types of audits for on-site, self, procedural and themed audits.</w:t>
            </w:r>
          </w:p>
          <w:p w14:paraId="291D974E" w14:textId="77777777" w:rsidR="00A052B3" w:rsidRDefault="00A052B3" w:rsidP="00320E55">
            <w:pPr>
              <w:pStyle w:val="ListParagraph"/>
              <w:numPr>
                <w:ilvl w:val="0"/>
                <w:numId w:val="18"/>
              </w:numPr>
              <w:spacing w:before="120" w:after="120"/>
              <w:ind w:left="390"/>
              <w:contextualSpacing w:val="0"/>
            </w:pPr>
            <w:r>
              <w:t xml:space="preserve">Add discussion and table for the </w:t>
            </w:r>
            <w:r w:rsidRPr="00F160AC">
              <w:t>Annual Audit Schedule</w:t>
            </w:r>
            <w:r>
              <w:t>.</w:t>
            </w:r>
          </w:p>
          <w:p w14:paraId="6F4264F3" w14:textId="77777777" w:rsidR="00A052B3" w:rsidRPr="00561AA8" w:rsidRDefault="00A052B3" w:rsidP="00320E55">
            <w:pPr>
              <w:pStyle w:val="ListParagraph"/>
              <w:numPr>
                <w:ilvl w:val="0"/>
                <w:numId w:val="18"/>
              </w:numPr>
              <w:spacing w:before="120" w:after="120"/>
              <w:ind w:left="390"/>
              <w:contextualSpacing w:val="0"/>
            </w:pPr>
            <w:r>
              <w:t xml:space="preserve">Add requirement for </w:t>
            </w:r>
            <w:r w:rsidRPr="00561AA8">
              <w:t xml:space="preserve">Reporting External Quality Activities to the </w:t>
            </w:r>
            <w:proofErr w:type="spellStart"/>
            <w:r>
              <w:t>OfR</w:t>
            </w:r>
            <w:proofErr w:type="spellEnd"/>
          </w:p>
          <w:p w14:paraId="6127A168" w14:textId="77777777" w:rsidR="00A052B3" w:rsidRPr="00F049E5" w:rsidRDefault="00A052B3" w:rsidP="00320E55">
            <w:pPr>
              <w:spacing w:before="120" w:after="120"/>
              <w:jc w:val="both"/>
            </w:pPr>
            <w:r>
              <w:t>Move and extend audit conduct information for specifics audits to appendices.</w:t>
            </w:r>
          </w:p>
        </w:tc>
        <w:tc>
          <w:tcPr>
            <w:tcW w:w="1852" w:type="dxa"/>
          </w:tcPr>
          <w:p w14:paraId="4867F89C" w14:textId="77777777" w:rsidR="00A052B3" w:rsidRPr="00F049E5" w:rsidRDefault="00A052B3" w:rsidP="00320E55">
            <w:pPr>
              <w:spacing w:after="0"/>
            </w:pPr>
            <w:r>
              <w:lastRenderedPageBreak/>
              <w:t>Sarah Rickard (GMRO)</w:t>
            </w:r>
          </w:p>
        </w:tc>
      </w:tr>
    </w:tbl>
    <w:p w14:paraId="0DABDBC0" w14:textId="002ABE5B" w:rsidR="00B82E62" w:rsidRPr="00561AA8" w:rsidRDefault="00B82E62" w:rsidP="00561AA8">
      <w:pPr>
        <w:spacing w:before="120" w:after="120"/>
      </w:pPr>
    </w:p>
    <w:p w14:paraId="0C825CB2" w14:textId="4D42DB83" w:rsidR="00DD32CE" w:rsidRPr="003D0A6F" w:rsidRDefault="00B82E62" w:rsidP="003D0A6F">
      <w:pPr>
        <w:autoSpaceDE/>
        <w:autoSpaceDN/>
        <w:adjustRightInd/>
        <w:spacing w:before="120" w:after="120" w:line="259" w:lineRule="auto"/>
        <w:rPr>
          <w:rFonts w:eastAsia="Times New Roman"/>
          <w:b/>
          <w:color w:val="0069AA"/>
          <w:u w:val="single"/>
        </w:rPr>
      </w:pPr>
      <w:r w:rsidRPr="00561AA8">
        <w:br w:type="page"/>
      </w:r>
      <w:r w:rsidR="00CE465C" w:rsidRPr="003D0A6F">
        <w:rPr>
          <w:rFonts w:eastAsia="Times New Roman"/>
          <w:b/>
          <w:color w:val="0069AA"/>
          <w:u w:val="single"/>
        </w:rPr>
        <w:lastRenderedPageBreak/>
        <w:t>APPENDIX</w:t>
      </w:r>
    </w:p>
    <w:p w14:paraId="151A1B09" w14:textId="3FA8F0AF" w:rsidR="00986796" w:rsidRPr="00561AA8" w:rsidRDefault="00524CD9" w:rsidP="00561AA8">
      <w:pPr>
        <w:pStyle w:val="Heading2"/>
        <w:numPr>
          <w:ilvl w:val="0"/>
          <w:numId w:val="0"/>
        </w:numPr>
        <w:spacing w:before="120" w:after="120"/>
        <w:rPr>
          <w:rFonts w:asciiTheme="minorHAnsi" w:hAnsiTheme="minorHAnsi" w:cstheme="minorHAnsi"/>
        </w:rPr>
      </w:pPr>
      <w:r w:rsidRPr="00561AA8">
        <w:rPr>
          <w:rFonts w:asciiTheme="minorHAnsi" w:hAnsiTheme="minorHAnsi" w:cstheme="minorHAnsi"/>
        </w:rPr>
        <w:t>APPENDIX</w:t>
      </w:r>
      <w:r w:rsidR="004C1C3D" w:rsidRPr="00561AA8">
        <w:rPr>
          <w:rFonts w:asciiTheme="minorHAnsi" w:hAnsiTheme="minorHAnsi" w:cstheme="minorHAnsi"/>
        </w:rPr>
        <w:t xml:space="preserve"> 1</w:t>
      </w:r>
      <w:r w:rsidR="00561AA8" w:rsidRPr="00561AA8">
        <w:rPr>
          <w:rFonts w:asciiTheme="minorHAnsi" w:hAnsiTheme="minorHAnsi" w:cstheme="minorHAnsi"/>
        </w:rPr>
        <w:t xml:space="preserve"> - CONDUCT OF ON-SITE AUDITS</w:t>
      </w:r>
    </w:p>
    <w:p w14:paraId="15456BDF" w14:textId="4E5F1659" w:rsidR="00B44D22" w:rsidRPr="00561AA8" w:rsidRDefault="00511ADC" w:rsidP="00561AA8">
      <w:pPr>
        <w:pStyle w:val="Heading3"/>
        <w:spacing w:before="120" w:after="120"/>
        <w:rPr>
          <w:rFonts w:cstheme="minorHAnsi"/>
        </w:rPr>
      </w:pPr>
      <w:r w:rsidRPr="00561AA8">
        <w:rPr>
          <w:rFonts w:cstheme="minorHAnsi"/>
        </w:rPr>
        <w:t>1</w:t>
      </w:r>
      <w:r w:rsidR="00B44D22" w:rsidRPr="00561AA8">
        <w:rPr>
          <w:rFonts w:cstheme="minorHAnsi"/>
        </w:rPr>
        <w:t>.1.</w:t>
      </w:r>
      <w:r w:rsidR="00D366E8" w:rsidRPr="00561AA8">
        <w:rPr>
          <w:rFonts w:cstheme="minorHAnsi"/>
        </w:rPr>
        <w:t xml:space="preserve"> </w:t>
      </w:r>
      <w:r w:rsidR="00B44D22" w:rsidRPr="00561AA8">
        <w:rPr>
          <w:rFonts w:cstheme="minorHAnsi"/>
        </w:rPr>
        <w:t>Scheduling an Audit with Study Team</w:t>
      </w:r>
    </w:p>
    <w:p w14:paraId="77497114" w14:textId="18EBFC6C" w:rsidR="00AC0966" w:rsidRPr="00717133" w:rsidRDefault="006D47B9" w:rsidP="00561AA8">
      <w:pPr>
        <w:spacing w:before="120" w:after="120"/>
      </w:pPr>
      <w:proofErr w:type="spellStart"/>
      <w:r>
        <w:t>O</w:t>
      </w:r>
      <w:r w:rsidR="000E5477">
        <w:t>f</w:t>
      </w:r>
      <w:r>
        <w:t>R</w:t>
      </w:r>
      <w:proofErr w:type="spellEnd"/>
      <w:r w:rsidR="00AC0966" w:rsidRPr="00561AA8">
        <w:t xml:space="preserve"> staff will notify the </w:t>
      </w:r>
      <w:r w:rsidR="0026293F" w:rsidRPr="00561AA8">
        <w:t>study</w:t>
      </w:r>
      <w:r w:rsidR="00AC0966" w:rsidRPr="00561AA8">
        <w:t xml:space="preserve"> team of the audit in writing and liaise with the </w:t>
      </w:r>
      <w:r w:rsidR="0026293F" w:rsidRPr="00561AA8">
        <w:t>study</w:t>
      </w:r>
      <w:r w:rsidR="00AC0966" w:rsidRPr="00561AA8">
        <w:t xml:space="preserve"> team to organise the audit schedule and access to documentation, personnel and facilities required for </w:t>
      </w:r>
      <w:r w:rsidR="00AC0966" w:rsidRPr="00717133">
        <w:t>the audit.</w:t>
      </w:r>
    </w:p>
    <w:p w14:paraId="5784075F" w14:textId="303F67D1" w:rsidR="00AC0966" w:rsidRPr="00047BAE" w:rsidRDefault="00AC0966" w:rsidP="00561AA8">
      <w:pPr>
        <w:spacing w:before="120" w:after="120"/>
      </w:pPr>
      <w:r w:rsidRPr="00047BAE">
        <w:t xml:space="preserve">The audit may be conducted as on-site, remote or combination of these modes depending on site location and availability of </w:t>
      </w:r>
      <w:proofErr w:type="spellStart"/>
      <w:r w:rsidR="006D47B9">
        <w:t>O</w:t>
      </w:r>
      <w:r w:rsidR="000E5477">
        <w:t>f</w:t>
      </w:r>
      <w:r w:rsidR="006D47B9">
        <w:t>R</w:t>
      </w:r>
      <w:proofErr w:type="spellEnd"/>
      <w:r w:rsidRPr="00047BAE">
        <w:t xml:space="preserve"> and/or research personnel </w:t>
      </w:r>
    </w:p>
    <w:p w14:paraId="1CA08CE7" w14:textId="247DE434" w:rsidR="00B44D22" w:rsidRPr="00E612E7" w:rsidRDefault="00511ADC" w:rsidP="00561AA8">
      <w:pPr>
        <w:pStyle w:val="Heading3"/>
        <w:spacing w:before="120" w:after="120"/>
        <w:rPr>
          <w:rFonts w:cstheme="minorHAnsi"/>
        </w:rPr>
      </w:pPr>
      <w:r w:rsidRPr="00E612E7">
        <w:rPr>
          <w:rFonts w:cstheme="minorHAnsi"/>
        </w:rPr>
        <w:t>1</w:t>
      </w:r>
      <w:r w:rsidR="00B44D22" w:rsidRPr="00E612E7">
        <w:rPr>
          <w:rFonts w:cstheme="minorHAnsi"/>
        </w:rPr>
        <w:t>.2 Notification of Study Audits</w:t>
      </w:r>
    </w:p>
    <w:p w14:paraId="564A3B41" w14:textId="0B7E99B1" w:rsidR="00B44D22" w:rsidRPr="00E612E7" w:rsidRDefault="0026293F" w:rsidP="00561AA8">
      <w:pPr>
        <w:spacing w:before="120" w:after="120"/>
      </w:pPr>
      <w:r w:rsidRPr="00E612E7">
        <w:t xml:space="preserve">The </w:t>
      </w:r>
      <w:proofErr w:type="spellStart"/>
      <w:r w:rsidR="006D47B9">
        <w:t>O</w:t>
      </w:r>
      <w:r w:rsidR="000E5477">
        <w:t>f</w:t>
      </w:r>
      <w:r w:rsidR="006D47B9">
        <w:t>R</w:t>
      </w:r>
      <w:proofErr w:type="spellEnd"/>
      <w:r w:rsidRPr="00E612E7">
        <w:t xml:space="preserve"> </w:t>
      </w:r>
      <w:r w:rsidR="00B44D22" w:rsidRPr="00E612E7">
        <w:t>will send written notification (letter/email) to the PI and study coordinator/CTC/Research Nurse confirming:</w:t>
      </w:r>
    </w:p>
    <w:p w14:paraId="78D0156F" w14:textId="77777777" w:rsidR="00B44D22" w:rsidRPr="00561AA8" w:rsidRDefault="00B44D22" w:rsidP="00561AA8">
      <w:pPr>
        <w:pStyle w:val="ListParagraph"/>
        <w:numPr>
          <w:ilvl w:val="0"/>
          <w:numId w:val="20"/>
        </w:numPr>
        <w:spacing w:before="120" w:after="120"/>
        <w:contextualSpacing w:val="0"/>
      </w:pPr>
      <w:r w:rsidRPr="00561AA8">
        <w:t xml:space="preserve">the audit date(s) </w:t>
      </w:r>
    </w:p>
    <w:p w14:paraId="61D347F2" w14:textId="77777777" w:rsidR="00B44D22" w:rsidRPr="00561AA8" w:rsidRDefault="00B44D22" w:rsidP="00561AA8">
      <w:pPr>
        <w:pStyle w:val="ListParagraph"/>
        <w:numPr>
          <w:ilvl w:val="0"/>
          <w:numId w:val="20"/>
        </w:numPr>
        <w:spacing w:before="120" w:after="120"/>
        <w:contextualSpacing w:val="0"/>
      </w:pPr>
      <w:r w:rsidRPr="00561AA8">
        <w:t>required personnel</w:t>
      </w:r>
    </w:p>
    <w:p w14:paraId="017BFC3D" w14:textId="77777777" w:rsidR="00B44D22" w:rsidRPr="00561AA8" w:rsidRDefault="00B44D22" w:rsidP="00561AA8">
      <w:pPr>
        <w:pStyle w:val="ListParagraph"/>
        <w:numPr>
          <w:ilvl w:val="0"/>
          <w:numId w:val="20"/>
        </w:numPr>
        <w:spacing w:before="120" w:after="120"/>
        <w:contextualSpacing w:val="0"/>
      </w:pPr>
      <w:r w:rsidRPr="00561AA8">
        <w:t xml:space="preserve">the purpose or the audit </w:t>
      </w:r>
    </w:p>
    <w:p w14:paraId="0C88642A" w14:textId="77777777" w:rsidR="00B44D22" w:rsidRPr="00561AA8" w:rsidRDefault="00B44D22" w:rsidP="00561AA8">
      <w:pPr>
        <w:pStyle w:val="ListParagraph"/>
        <w:numPr>
          <w:ilvl w:val="0"/>
          <w:numId w:val="20"/>
        </w:numPr>
        <w:spacing w:before="120" w:after="120"/>
        <w:contextualSpacing w:val="0"/>
      </w:pPr>
      <w:r w:rsidRPr="00561AA8">
        <w:t>the scope of the audit</w:t>
      </w:r>
    </w:p>
    <w:p w14:paraId="677754FB" w14:textId="136BEC59" w:rsidR="00B44D22" w:rsidRPr="00561AA8" w:rsidRDefault="00B44D22" w:rsidP="00561AA8">
      <w:pPr>
        <w:pStyle w:val="ListParagraph"/>
        <w:numPr>
          <w:ilvl w:val="0"/>
          <w:numId w:val="20"/>
        </w:numPr>
        <w:spacing w:before="120" w:after="120"/>
        <w:contextualSpacing w:val="0"/>
      </w:pPr>
      <w:r w:rsidRPr="00561AA8">
        <w:t>access to specific documents</w:t>
      </w:r>
      <w:r w:rsidR="00C77648" w:rsidRPr="00561AA8">
        <w:t>, information, systems</w:t>
      </w:r>
      <w:r w:rsidR="00052CF7" w:rsidRPr="00561AA8">
        <w:t>,</w:t>
      </w:r>
      <w:r w:rsidR="00C77648" w:rsidRPr="00561AA8">
        <w:t xml:space="preserve"> and training as applicable to the study </w:t>
      </w:r>
      <w:r w:rsidRPr="00561AA8">
        <w:t>(see below)</w:t>
      </w:r>
    </w:p>
    <w:p w14:paraId="2CA0BC12" w14:textId="5D61E1EB" w:rsidR="00C77648" w:rsidRPr="00561AA8" w:rsidRDefault="00C77648" w:rsidP="00561AA8">
      <w:pPr>
        <w:pStyle w:val="ListParagraph"/>
        <w:numPr>
          <w:ilvl w:val="0"/>
          <w:numId w:val="25"/>
        </w:numPr>
        <w:spacing w:before="120" w:after="120"/>
        <w:ind w:left="1418"/>
        <w:contextualSpacing w:val="0"/>
      </w:pPr>
      <w:r w:rsidRPr="00561AA8">
        <w:t>study status overall</w:t>
      </w:r>
    </w:p>
    <w:p w14:paraId="5094D0DC" w14:textId="274CE313" w:rsidR="00C77648" w:rsidRPr="00561AA8" w:rsidRDefault="00C77648" w:rsidP="00561AA8">
      <w:pPr>
        <w:pStyle w:val="ListParagraph"/>
        <w:numPr>
          <w:ilvl w:val="0"/>
          <w:numId w:val="25"/>
        </w:numPr>
        <w:spacing w:before="120" w:after="120"/>
        <w:ind w:left="1417" w:hanging="357"/>
        <w:contextualSpacing w:val="0"/>
      </w:pPr>
      <w:r w:rsidRPr="00561AA8">
        <w:t>Research Governance authorisations (initial and all amendments)</w:t>
      </w:r>
    </w:p>
    <w:p w14:paraId="17412DA4" w14:textId="65D03DAF" w:rsidR="00B44D22" w:rsidRPr="00561AA8" w:rsidRDefault="00B44D22" w:rsidP="00561AA8">
      <w:pPr>
        <w:pStyle w:val="ListParagraph"/>
        <w:numPr>
          <w:ilvl w:val="0"/>
          <w:numId w:val="25"/>
        </w:numPr>
        <w:spacing w:before="120" w:after="120"/>
        <w:ind w:left="1417" w:hanging="357"/>
        <w:contextualSpacing w:val="0"/>
      </w:pPr>
      <w:r w:rsidRPr="00561AA8">
        <w:t>HREC approvals (initial and a</w:t>
      </w:r>
      <w:r w:rsidR="00C77648" w:rsidRPr="00561AA8">
        <w:t>ll a</w:t>
      </w:r>
      <w:r w:rsidRPr="00561AA8">
        <w:t>mendment</w:t>
      </w:r>
      <w:r w:rsidR="00C77648" w:rsidRPr="00561AA8">
        <w:t>s</w:t>
      </w:r>
      <w:r w:rsidRPr="00561AA8">
        <w:t>)</w:t>
      </w:r>
    </w:p>
    <w:p w14:paraId="73274F27" w14:textId="654F9FF8" w:rsidR="00B44D22" w:rsidRPr="00561AA8" w:rsidRDefault="00B44D22" w:rsidP="00561AA8">
      <w:pPr>
        <w:pStyle w:val="ListParagraph"/>
        <w:numPr>
          <w:ilvl w:val="0"/>
          <w:numId w:val="25"/>
        </w:numPr>
        <w:spacing w:before="120" w:after="120"/>
        <w:ind w:left="1417" w:hanging="357"/>
        <w:contextualSpacing w:val="0"/>
      </w:pPr>
      <w:r w:rsidRPr="00561AA8">
        <w:t>regulatory and ethics correspondence</w:t>
      </w:r>
    </w:p>
    <w:p w14:paraId="1B22A50F" w14:textId="08878B33" w:rsidR="00B44D22" w:rsidRPr="00561AA8" w:rsidRDefault="00B44D22" w:rsidP="00561AA8">
      <w:pPr>
        <w:pStyle w:val="ListParagraph"/>
        <w:numPr>
          <w:ilvl w:val="0"/>
          <w:numId w:val="25"/>
        </w:numPr>
        <w:spacing w:before="120" w:after="120"/>
        <w:ind w:left="1417" w:hanging="357"/>
        <w:contextualSpacing w:val="0"/>
      </w:pPr>
      <w:r w:rsidRPr="00561AA8">
        <w:t>study protocol</w:t>
      </w:r>
      <w:r w:rsidR="00C77648" w:rsidRPr="00561AA8">
        <w:t xml:space="preserve"> and all </w:t>
      </w:r>
      <w:r w:rsidRPr="00561AA8">
        <w:t>protocol amendments</w:t>
      </w:r>
    </w:p>
    <w:p w14:paraId="4A3AA961" w14:textId="02EB5C95" w:rsidR="00C77648" w:rsidRPr="00561AA8" w:rsidRDefault="00C77648" w:rsidP="00561AA8">
      <w:pPr>
        <w:pStyle w:val="ListParagraph"/>
        <w:numPr>
          <w:ilvl w:val="0"/>
          <w:numId w:val="25"/>
        </w:numPr>
        <w:spacing w:before="120" w:after="120"/>
        <w:ind w:left="1417" w:hanging="357"/>
        <w:contextualSpacing w:val="0"/>
      </w:pPr>
      <w:r w:rsidRPr="00561AA8">
        <w:t>Signed participant PICFs, or other evidence of consent or waiver of consent as applicable to the study</w:t>
      </w:r>
    </w:p>
    <w:p w14:paraId="3CD983B2" w14:textId="77777777" w:rsidR="00C77648" w:rsidRPr="00561AA8" w:rsidRDefault="00C77648" w:rsidP="00561AA8">
      <w:pPr>
        <w:pStyle w:val="ListParagraph"/>
        <w:numPr>
          <w:ilvl w:val="0"/>
          <w:numId w:val="25"/>
        </w:numPr>
        <w:spacing w:before="120" w:after="120"/>
        <w:ind w:left="1418"/>
        <w:contextualSpacing w:val="0"/>
      </w:pPr>
      <w:r w:rsidRPr="00561AA8">
        <w:t>Investigator Site File (ISF), including Pharmacy documents</w:t>
      </w:r>
    </w:p>
    <w:p w14:paraId="1B22E174" w14:textId="77777777" w:rsidR="00B44D22" w:rsidRPr="00561AA8" w:rsidRDefault="00B44D22" w:rsidP="00561AA8">
      <w:pPr>
        <w:pStyle w:val="ListParagraph"/>
        <w:numPr>
          <w:ilvl w:val="0"/>
          <w:numId w:val="25"/>
        </w:numPr>
        <w:spacing w:before="120" w:after="120"/>
        <w:ind w:left="1418"/>
        <w:contextualSpacing w:val="0"/>
      </w:pPr>
      <w:r w:rsidRPr="00561AA8">
        <w:t xml:space="preserve">Case Report Form (CRF) – if an </w:t>
      </w:r>
      <w:proofErr w:type="spellStart"/>
      <w:r w:rsidRPr="00561AA8">
        <w:t>eCRF</w:t>
      </w:r>
      <w:proofErr w:type="spellEnd"/>
      <w:r w:rsidRPr="00561AA8">
        <w:t xml:space="preserve"> is being used, the auditor should discuss the ease of getting access to the </w:t>
      </w:r>
      <w:proofErr w:type="spellStart"/>
      <w:r w:rsidRPr="00561AA8">
        <w:t>eCRF</w:t>
      </w:r>
      <w:proofErr w:type="spellEnd"/>
      <w:r w:rsidRPr="00561AA8">
        <w:t xml:space="preserve"> or whether the printing of line listings from the database is best for reviewing the data</w:t>
      </w:r>
    </w:p>
    <w:p w14:paraId="242FF10A" w14:textId="77777777" w:rsidR="00B44D22" w:rsidRPr="00561AA8" w:rsidRDefault="00B44D22" w:rsidP="00561AA8">
      <w:pPr>
        <w:pStyle w:val="ListParagraph"/>
        <w:numPr>
          <w:ilvl w:val="0"/>
          <w:numId w:val="25"/>
        </w:numPr>
        <w:spacing w:before="120" w:after="120"/>
        <w:ind w:left="1418"/>
        <w:contextualSpacing w:val="0"/>
      </w:pPr>
      <w:r w:rsidRPr="00561AA8">
        <w:t>data collection forms</w:t>
      </w:r>
    </w:p>
    <w:p w14:paraId="5E3ED490" w14:textId="77777777" w:rsidR="00B44D22" w:rsidRPr="00561AA8" w:rsidRDefault="00B44D22" w:rsidP="00561AA8">
      <w:pPr>
        <w:pStyle w:val="ListParagraph"/>
        <w:numPr>
          <w:ilvl w:val="0"/>
          <w:numId w:val="25"/>
        </w:numPr>
        <w:spacing w:before="120" w:after="120"/>
        <w:ind w:left="1418"/>
        <w:contextualSpacing w:val="0"/>
      </w:pPr>
      <w:r w:rsidRPr="00561AA8">
        <w:t>trial manual, including worksheets and source data specific templates</w:t>
      </w:r>
    </w:p>
    <w:p w14:paraId="2B6D808A" w14:textId="77777777" w:rsidR="00B44D22" w:rsidRPr="00561AA8" w:rsidRDefault="00B44D22" w:rsidP="00561AA8">
      <w:pPr>
        <w:pStyle w:val="ListParagraph"/>
        <w:numPr>
          <w:ilvl w:val="0"/>
          <w:numId w:val="25"/>
        </w:numPr>
        <w:spacing w:before="120" w:after="120"/>
        <w:ind w:left="1418"/>
        <w:contextualSpacing w:val="0"/>
      </w:pPr>
      <w:r w:rsidRPr="00561AA8">
        <w:t>CRF guidelines and any other study related plans</w:t>
      </w:r>
    </w:p>
    <w:p w14:paraId="22E8FB03" w14:textId="77777777" w:rsidR="00B44D22" w:rsidRPr="00561AA8" w:rsidRDefault="00B44D22" w:rsidP="00561AA8">
      <w:pPr>
        <w:pStyle w:val="ListParagraph"/>
        <w:numPr>
          <w:ilvl w:val="0"/>
          <w:numId w:val="25"/>
        </w:numPr>
        <w:spacing w:before="120" w:after="120"/>
        <w:ind w:left="1418"/>
        <w:contextualSpacing w:val="0"/>
      </w:pPr>
      <w:r w:rsidRPr="00561AA8">
        <w:t>monitoring follow-up visit letters</w:t>
      </w:r>
    </w:p>
    <w:p w14:paraId="5EF26380" w14:textId="77777777" w:rsidR="00B44D22" w:rsidRPr="00561AA8" w:rsidRDefault="00B44D22" w:rsidP="00561AA8">
      <w:pPr>
        <w:pStyle w:val="ListParagraph"/>
        <w:numPr>
          <w:ilvl w:val="0"/>
          <w:numId w:val="25"/>
        </w:numPr>
        <w:spacing w:before="120" w:after="120"/>
        <w:ind w:left="1418"/>
        <w:contextualSpacing w:val="0"/>
      </w:pPr>
      <w:r w:rsidRPr="00561AA8">
        <w:t>a listing of SAEs and Protocol Deviations</w:t>
      </w:r>
    </w:p>
    <w:p w14:paraId="0815FBB7" w14:textId="77777777" w:rsidR="00B44D22" w:rsidRPr="00561AA8" w:rsidRDefault="00B44D22" w:rsidP="00561AA8">
      <w:pPr>
        <w:pStyle w:val="ListParagraph"/>
        <w:numPr>
          <w:ilvl w:val="0"/>
          <w:numId w:val="25"/>
        </w:numPr>
        <w:spacing w:before="120" w:after="120"/>
        <w:ind w:left="1418"/>
        <w:contextualSpacing w:val="0"/>
      </w:pPr>
      <w:r w:rsidRPr="00561AA8">
        <w:t>participants’ source data and medical records</w:t>
      </w:r>
    </w:p>
    <w:p w14:paraId="4E6644D7" w14:textId="77777777" w:rsidR="00B44D22" w:rsidRPr="00561AA8" w:rsidRDefault="00B44D22" w:rsidP="00561AA8">
      <w:pPr>
        <w:pStyle w:val="ListParagraph"/>
        <w:numPr>
          <w:ilvl w:val="0"/>
          <w:numId w:val="25"/>
        </w:numPr>
        <w:spacing w:before="120" w:after="120"/>
        <w:ind w:left="1418"/>
        <w:contextualSpacing w:val="0"/>
      </w:pPr>
      <w:r w:rsidRPr="00561AA8">
        <w:t>communications</w:t>
      </w:r>
    </w:p>
    <w:p w14:paraId="446BD023" w14:textId="77777777" w:rsidR="00B44D22" w:rsidRPr="00561AA8" w:rsidRDefault="00B44D22" w:rsidP="00561AA8">
      <w:pPr>
        <w:pStyle w:val="ListParagraph"/>
        <w:numPr>
          <w:ilvl w:val="0"/>
          <w:numId w:val="25"/>
        </w:numPr>
        <w:spacing w:before="120" w:after="120"/>
        <w:ind w:left="1418"/>
        <w:contextualSpacing w:val="0"/>
      </w:pPr>
      <w:r w:rsidRPr="00561AA8">
        <w:t>other documents, as required.</w:t>
      </w:r>
    </w:p>
    <w:p w14:paraId="4B224FCB" w14:textId="77777777" w:rsidR="00C77648" w:rsidRPr="00561AA8" w:rsidRDefault="00C77648" w:rsidP="00561AA8">
      <w:pPr>
        <w:pStyle w:val="ListParagraph"/>
        <w:numPr>
          <w:ilvl w:val="0"/>
          <w:numId w:val="26"/>
        </w:numPr>
        <w:spacing w:before="120" w:after="120"/>
        <w:ind w:left="851"/>
        <w:contextualSpacing w:val="0"/>
      </w:pPr>
      <w:r w:rsidRPr="00561AA8">
        <w:t>any additional specific needs for the audit e.g., desk space, visits to laboratories, clinical trial centres/units.</w:t>
      </w:r>
    </w:p>
    <w:p w14:paraId="590F313B" w14:textId="194482CD" w:rsidR="00052CF7" w:rsidRPr="00561AA8" w:rsidRDefault="00052CF7" w:rsidP="00561AA8">
      <w:pPr>
        <w:pStyle w:val="ListParagraph"/>
        <w:numPr>
          <w:ilvl w:val="0"/>
          <w:numId w:val="26"/>
        </w:numPr>
        <w:spacing w:before="120" w:after="120"/>
        <w:ind w:left="851"/>
        <w:contextualSpacing w:val="0"/>
      </w:pPr>
      <w:r w:rsidRPr="00561AA8">
        <w:lastRenderedPageBreak/>
        <w:t>Request for the study coordinator/CTC/Research Nurse to arrange appointments for the auditor with supporting departments (e.g., Pharmacy, Pathology, Imaging), if applicable.</w:t>
      </w:r>
    </w:p>
    <w:p w14:paraId="7E646F14" w14:textId="4758B432" w:rsidR="0068192B" w:rsidRPr="00F160AC" w:rsidRDefault="00511ADC" w:rsidP="00561AA8">
      <w:pPr>
        <w:pStyle w:val="Heading3"/>
        <w:spacing w:before="120" w:after="120"/>
        <w:rPr>
          <w:rFonts w:cstheme="minorHAnsi"/>
        </w:rPr>
      </w:pPr>
      <w:r w:rsidRPr="00F160AC">
        <w:rPr>
          <w:rFonts w:cstheme="minorHAnsi"/>
        </w:rPr>
        <w:t>2</w:t>
      </w:r>
      <w:r w:rsidR="0068192B" w:rsidRPr="00F160AC">
        <w:rPr>
          <w:rFonts w:cstheme="minorHAnsi"/>
        </w:rPr>
        <w:t>. Conducting the Audit</w:t>
      </w:r>
    </w:p>
    <w:p w14:paraId="6E0655EA" w14:textId="4D75092B" w:rsidR="0068192B" w:rsidRPr="00561AA8" w:rsidRDefault="00511ADC" w:rsidP="00561AA8">
      <w:pPr>
        <w:pStyle w:val="Heading4"/>
        <w:spacing w:before="120" w:after="120"/>
        <w:rPr>
          <w:rFonts w:asciiTheme="minorHAnsi" w:hAnsiTheme="minorHAnsi" w:cstheme="minorHAnsi"/>
        </w:rPr>
      </w:pPr>
      <w:r w:rsidRPr="00561AA8">
        <w:rPr>
          <w:rFonts w:asciiTheme="minorHAnsi" w:hAnsiTheme="minorHAnsi" w:cstheme="minorHAnsi"/>
        </w:rPr>
        <w:t>2</w:t>
      </w:r>
      <w:r w:rsidR="0068192B" w:rsidRPr="00561AA8">
        <w:rPr>
          <w:rFonts w:asciiTheme="minorHAnsi" w:hAnsiTheme="minorHAnsi" w:cstheme="minorHAnsi"/>
        </w:rPr>
        <w:t>.1 Introductory Meeting</w:t>
      </w:r>
    </w:p>
    <w:p w14:paraId="30AA62D4" w14:textId="12DAC9D6" w:rsidR="00D366E8" w:rsidRPr="00561AA8" w:rsidRDefault="00D366E8" w:rsidP="00561AA8">
      <w:pPr>
        <w:spacing w:before="120" w:after="120"/>
      </w:pPr>
      <w:r w:rsidRPr="00561AA8">
        <w:t>1</w:t>
      </w:r>
      <w:r w:rsidR="001B3CE8">
        <w:t>.</w:t>
      </w:r>
      <w:r w:rsidRPr="00561AA8">
        <w:t xml:space="preserve"> </w:t>
      </w:r>
      <w:proofErr w:type="spellStart"/>
      <w:r w:rsidR="006D47B9">
        <w:t>O</w:t>
      </w:r>
      <w:r w:rsidR="000E5477">
        <w:t>f</w:t>
      </w:r>
      <w:r w:rsidR="006D47B9">
        <w:t>R</w:t>
      </w:r>
      <w:proofErr w:type="spellEnd"/>
      <w:r w:rsidR="0026293F" w:rsidRPr="00561AA8">
        <w:t xml:space="preserve"> staff will hold a</w:t>
      </w:r>
      <w:r w:rsidR="0068192B" w:rsidRPr="00561AA8">
        <w:t xml:space="preserve">n introductory meeting with the study Principal Investigator and study coordinator/CTC/Research Nurse (or other auditees depending on audit type) </w:t>
      </w:r>
      <w:r w:rsidRPr="00561AA8">
        <w:t>at the beginning of the audit or early in the study audit schedule.</w:t>
      </w:r>
      <w:r w:rsidR="001B3CE8">
        <w:t xml:space="preserve"> </w:t>
      </w:r>
    </w:p>
    <w:p w14:paraId="041AD165" w14:textId="598D5C93" w:rsidR="0068192B" w:rsidRPr="00561AA8" w:rsidRDefault="00D366E8" w:rsidP="00561AA8">
      <w:pPr>
        <w:spacing w:before="120" w:after="120"/>
      </w:pPr>
      <w:r w:rsidRPr="00561AA8">
        <w:t>2</w:t>
      </w:r>
      <w:r w:rsidR="001B3CE8">
        <w:t>.</w:t>
      </w:r>
      <w:r w:rsidRPr="00561AA8">
        <w:t xml:space="preserve"> Attendance of the study Principal Investigator and study coordinator/CTC/Research Nurse </w:t>
      </w:r>
      <w:r w:rsidR="0068192B" w:rsidRPr="00561AA8">
        <w:t xml:space="preserve">is mandatory requirement of </w:t>
      </w:r>
      <w:r w:rsidR="004E169B" w:rsidRPr="00561AA8">
        <w:t>the audit process</w:t>
      </w:r>
      <w:r w:rsidR="0068192B" w:rsidRPr="00561AA8">
        <w:t>.</w:t>
      </w:r>
    </w:p>
    <w:p w14:paraId="13DFCC03" w14:textId="6E7DC27F" w:rsidR="0068192B" w:rsidRPr="00561AA8" w:rsidRDefault="00D366E8" w:rsidP="00561AA8">
      <w:pPr>
        <w:spacing w:before="120" w:after="120"/>
      </w:pPr>
      <w:r w:rsidRPr="00561AA8">
        <w:t>3</w:t>
      </w:r>
      <w:r w:rsidR="001B3CE8">
        <w:t>.</w:t>
      </w:r>
      <w:r w:rsidRPr="00561AA8">
        <w:t xml:space="preserve"> The purpose of the </w:t>
      </w:r>
      <w:r w:rsidR="0068192B" w:rsidRPr="00561AA8">
        <w:t>introductory meeting</w:t>
      </w:r>
      <w:r w:rsidRPr="00561AA8">
        <w:t xml:space="preserve"> is to</w:t>
      </w:r>
      <w:r w:rsidR="0068192B" w:rsidRPr="00561AA8">
        <w:t xml:space="preserve"> allow the </w:t>
      </w:r>
      <w:proofErr w:type="spellStart"/>
      <w:r w:rsidR="006D47B9">
        <w:t>O</w:t>
      </w:r>
      <w:r w:rsidR="000E5477">
        <w:t>f</w:t>
      </w:r>
      <w:r w:rsidR="006D47B9">
        <w:t>R</w:t>
      </w:r>
      <w:proofErr w:type="spellEnd"/>
      <w:r w:rsidR="004517CB" w:rsidRPr="00561AA8">
        <w:t xml:space="preserve"> staff</w:t>
      </w:r>
      <w:r w:rsidR="0068192B" w:rsidRPr="00561AA8">
        <w:t xml:space="preserve"> to:</w:t>
      </w:r>
    </w:p>
    <w:p w14:paraId="0BA24B09" w14:textId="5152E72B" w:rsidR="0068192B" w:rsidRPr="00561AA8" w:rsidRDefault="0068192B" w:rsidP="00561AA8">
      <w:pPr>
        <w:pStyle w:val="ListParagraph"/>
        <w:numPr>
          <w:ilvl w:val="0"/>
          <w:numId w:val="12"/>
        </w:numPr>
        <w:spacing w:before="120" w:after="120"/>
        <w:ind w:left="714" w:hanging="357"/>
        <w:contextualSpacing w:val="0"/>
      </w:pPr>
      <w:r w:rsidRPr="00561AA8">
        <w:t>introduce themselves</w:t>
      </w:r>
      <w:r w:rsidR="00052CF7" w:rsidRPr="00561AA8">
        <w:t>.</w:t>
      </w:r>
    </w:p>
    <w:p w14:paraId="6C2557BB" w14:textId="521CB5E6" w:rsidR="0068192B" w:rsidRPr="00561AA8" w:rsidRDefault="0068192B" w:rsidP="00561AA8">
      <w:pPr>
        <w:pStyle w:val="ListParagraph"/>
        <w:numPr>
          <w:ilvl w:val="0"/>
          <w:numId w:val="12"/>
        </w:numPr>
        <w:spacing w:before="120" w:after="120"/>
        <w:ind w:left="714" w:hanging="357"/>
        <w:contextualSpacing w:val="0"/>
      </w:pPr>
      <w:r w:rsidRPr="00561AA8">
        <w:t>meet the key personnel in the study team</w:t>
      </w:r>
      <w:r w:rsidR="00052CF7" w:rsidRPr="00561AA8">
        <w:t>.</w:t>
      </w:r>
    </w:p>
    <w:p w14:paraId="44AE2D61" w14:textId="73182C2E" w:rsidR="00052CF7" w:rsidRPr="00561AA8" w:rsidRDefault="00D366E8" w:rsidP="00561AA8">
      <w:pPr>
        <w:pStyle w:val="ListParagraph"/>
        <w:numPr>
          <w:ilvl w:val="0"/>
          <w:numId w:val="12"/>
        </w:numPr>
        <w:spacing w:before="120" w:after="120"/>
        <w:ind w:left="714" w:hanging="357"/>
        <w:contextualSpacing w:val="0"/>
      </w:pPr>
      <w:r w:rsidRPr="00561AA8">
        <w:t>confirm</w:t>
      </w:r>
      <w:r w:rsidR="0068192B" w:rsidRPr="00561AA8">
        <w:t xml:space="preserve"> the</w:t>
      </w:r>
      <w:r w:rsidR="00052CF7" w:rsidRPr="00561AA8">
        <w:t>:</w:t>
      </w:r>
      <w:r w:rsidR="0068192B" w:rsidRPr="00561AA8">
        <w:t xml:space="preserve"> </w:t>
      </w:r>
    </w:p>
    <w:p w14:paraId="15F03837" w14:textId="2BDC7CD8" w:rsidR="00052CF7" w:rsidRPr="00561AA8" w:rsidRDefault="00052CF7" w:rsidP="00561AA8">
      <w:pPr>
        <w:pStyle w:val="ListParagraph"/>
        <w:numPr>
          <w:ilvl w:val="0"/>
          <w:numId w:val="27"/>
        </w:numPr>
        <w:spacing w:before="120" w:after="120"/>
        <w:contextualSpacing w:val="0"/>
      </w:pPr>
      <w:r w:rsidRPr="00561AA8">
        <w:t>purpose of the audit program is to support research quality improvement and education across the research platform.</w:t>
      </w:r>
    </w:p>
    <w:p w14:paraId="4EDCA0D5" w14:textId="053CA503" w:rsidR="00052CF7" w:rsidRPr="00561AA8" w:rsidRDefault="00052CF7" w:rsidP="00561AA8">
      <w:pPr>
        <w:pStyle w:val="ListParagraph"/>
        <w:numPr>
          <w:ilvl w:val="0"/>
          <w:numId w:val="27"/>
        </w:numPr>
        <w:spacing w:before="120" w:after="120"/>
        <w:contextualSpacing w:val="0"/>
      </w:pPr>
      <w:r w:rsidRPr="00561AA8">
        <w:t>reason for selection of this study as random, themed, or for cause.</w:t>
      </w:r>
    </w:p>
    <w:p w14:paraId="6FA39B5D" w14:textId="715845C9" w:rsidR="0068192B" w:rsidRPr="00561AA8" w:rsidRDefault="0068192B" w:rsidP="00561AA8">
      <w:pPr>
        <w:pStyle w:val="ListParagraph"/>
        <w:numPr>
          <w:ilvl w:val="0"/>
          <w:numId w:val="27"/>
        </w:numPr>
        <w:spacing w:before="120" w:after="120"/>
        <w:contextualSpacing w:val="0"/>
      </w:pPr>
      <w:r w:rsidRPr="00561AA8">
        <w:t>scope and objectives of the audit</w:t>
      </w:r>
      <w:r w:rsidR="00052CF7" w:rsidRPr="00561AA8">
        <w:t>.</w:t>
      </w:r>
    </w:p>
    <w:p w14:paraId="3C3E14D4" w14:textId="4FEF4484" w:rsidR="00052CF7" w:rsidRPr="00561AA8" w:rsidRDefault="00052CF7" w:rsidP="00561AA8">
      <w:pPr>
        <w:pStyle w:val="ListParagraph"/>
        <w:numPr>
          <w:ilvl w:val="0"/>
          <w:numId w:val="27"/>
        </w:numPr>
        <w:spacing w:before="120" w:after="120"/>
        <w:contextualSpacing w:val="0"/>
      </w:pPr>
      <w:r w:rsidRPr="00561AA8">
        <w:t>availability of personnel for audit support and interviews, including vendors, as applicable.</w:t>
      </w:r>
    </w:p>
    <w:p w14:paraId="728C377E" w14:textId="2469DC4E" w:rsidR="0068192B" w:rsidRPr="00561AA8" w:rsidRDefault="0068192B" w:rsidP="00561AA8">
      <w:pPr>
        <w:pStyle w:val="ListParagraph"/>
        <w:numPr>
          <w:ilvl w:val="0"/>
          <w:numId w:val="12"/>
        </w:numPr>
        <w:spacing w:before="120" w:after="120"/>
        <w:ind w:left="714" w:hanging="357"/>
        <w:contextualSpacing w:val="0"/>
      </w:pPr>
      <w:r w:rsidRPr="00561AA8">
        <w:t>review and confirm the audit schedule</w:t>
      </w:r>
      <w:r w:rsidR="00052CF7" w:rsidRPr="00561AA8">
        <w:t>.</w:t>
      </w:r>
    </w:p>
    <w:p w14:paraId="0839CE98" w14:textId="4D6773D3" w:rsidR="0068192B" w:rsidRPr="00561AA8" w:rsidRDefault="0068192B" w:rsidP="00561AA8">
      <w:pPr>
        <w:pStyle w:val="ListParagraph"/>
        <w:numPr>
          <w:ilvl w:val="0"/>
          <w:numId w:val="12"/>
        </w:numPr>
        <w:spacing w:before="120" w:after="120"/>
        <w:ind w:left="714" w:hanging="357"/>
        <w:contextualSpacing w:val="0"/>
      </w:pPr>
      <w:r w:rsidRPr="00561AA8">
        <w:t>ascertain how the study and/or processes are conducted and confirm roles and responsibilities</w:t>
      </w:r>
      <w:r w:rsidR="00052CF7" w:rsidRPr="00561AA8">
        <w:t>.</w:t>
      </w:r>
    </w:p>
    <w:p w14:paraId="0F211408" w14:textId="77777777" w:rsidR="0068192B" w:rsidRPr="00561AA8" w:rsidRDefault="0068192B" w:rsidP="00561AA8">
      <w:pPr>
        <w:pStyle w:val="ListParagraph"/>
        <w:numPr>
          <w:ilvl w:val="0"/>
          <w:numId w:val="12"/>
        </w:numPr>
        <w:spacing w:before="120" w:after="120"/>
        <w:ind w:left="714" w:hanging="357"/>
        <w:contextualSpacing w:val="0"/>
      </w:pPr>
      <w:r w:rsidRPr="00561AA8">
        <w:t>indicate the tentative time and date for the closing meeting.</w:t>
      </w:r>
    </w:p>
    <w:p w14:paraId="030A1F72" w14:textId="1D1C82B0" w:rsidR="0068192B" w:rsidRPr="00561AA8" w:rsidRDefault="00511ADC" w:rsidP="00561AA8">
      <w:pPr>
        <w:pStyle w:val="Heading4"/>
        <w:spacing w:before="120" w:after="120"/>
        <w:rPr>
          <w:rFonts w:asciiTheme="minorHAnsi" w:hAnsiTheme="minorHAnsi" w:cstheme="minorHAnsi"/>
        </w:rPr>
      </w:pPr>
      <w:r w:rsidRPr="00561AA8">
        <w:rPr>
          <w:rFonts w:asciiTheme="minorHAnsi" w:hAnsiTheme="minorHAnsi" w:cstheme="minorHAnsi"/>
        </w:rPr>
        <w:t>2</w:t>
      </w:r>
      <w:r w:rsidR="0068192B" w:rsidRPr="00561AA8">
        <w:rPr>
          <w:rFonts w:asciiTheme="minorHAnsi" w:hAnsiTheme="minorHAnsi" w:cstheme="minorHAnsi"/>
        </w:rPr>
        <w:t xml:space="preserve">.2 </w:t>
      </w:r>
      <w:r w:rsidR="00B1104D" w:rsidRPr="00561AA8">
        <w:rPr>
          <w:rFonts w:asciiTheme="minorHAnsi" w:hAnsiTheme="minorHAnsi" w:cstheme="minorHAnsi"/>
        </w:rPr>
        <w:t>Review of study documentation</w:t>
      </w:r>
    </w:p>
    <w:p w14:paraId="36651628" w14:textId="6FB74C09" w:rsidR="0068192B" w:rsidRPr="00561AA8" w:rsidRDefault="00511ADC" w:rsidP="00561AA8">
      <w:pPr>
        <w:spacing w:before="120" w:after="120"/>
      </w:pPr>
      <w:r w:rsidRPr="00561AA8">
        <w:t>1</w:t>
      </w:r>
      <w:r w:rsidR="001B3CE8">
        <w:t>.</w:t>
      </w:r>
      <w:r w:rsidRPr="00561AA8">
        <w:t xml:space="preserve"> </w:t>
      </w:r>
      <w:r w:rsidR="0068192B" w:rsidRPr="00561AA8">
        <w:t xml:space="preserve">Information to be reviewed by the auditor is </w:t>
      </w:r>
      <w:r w:rsidR="00B1104D" w:rsidRPr="00561AA8">
        <w:t>dependent</w:t>
      </w:r>
      <w:r w:rsidR="0068192B" w:rsidRPr="00561AA8">
        <w:t xml:space="preserve"> on the audit scope and usually includes (but is not limited to):</w:t>
      </w:r>
    </w:p>
    <w:p w14:paraId="5F0FC9C8" w14:textId="77777777" w:rsidR="0068192B" w:rsidRPr="00561AA8" w:rsidRDefault="0068192B" w:rsidP="00561AA8">
      <w:pPr>
        <w:pStyle w:val="ListParagraph"/>
        <w:numPr>
          <w:ilvl w:val="0"/>
          <w:numId w:val="13"/>
        </w:numPr>
        <w:spacing w:before="120" w:after="120"/>
        <w:ind w:left="714" w:hanging="357"/>
        <w:contextualSpacing w:val="0"/>
      </w:pPr>
      <w:r w:rsidRPr="00561AA8">
        <w:t>HREC approvals (initial and amendment)</w:t>
      </w:r>
    </w:p>
    <w:p w14:paraId="7BBCF8E9" w14:textId="77777777" w:rsidR="0068192B" w:rsidRPr="00561AA8" w:rsidRDefault="0068192B" w:rsidP="00561AA8">
      <w:pPr>
        <w:pStyle w:val="ListParagraph"/>
        <w:numPr>
          <w:ilvl w:val="0"/>
          <w:numId w:val="13"/>
        </w:numPr>
        <w:spacing w:before="120" w:after="120"/>
        <w:ind w:left="714" w:hanging="357"/>
        <w:contextualSpacing w:val="0"/>
      </w:pPr>
      <w:r w:rsidRPr="00561AA8">
        <w:t>Research Governance authorisations (initial and amendments)</w:t>
      </w:r>
    </w:p>
    <w:p w14:paraId="1BA5FB22" w14:textId="77777777" w:rsidR="0068192B" w:rsidRPr="00561AA8" w:rsidRDefault="0068192B" w:rsidP="00561AA8">
      <w:pPr>
        <w:pStyle w:val="ListParagraph"/>
        <w:numPr>
          <w:ilvl w:val="0"/>
          <w:numId w:val="13"/>
        </w:numPr>
        <w:spacing w:before="120" w:after="120"/>
        <w:ind w:left="714" w:hanging="357"/>
        <w:contextualSpacing w:val="0"/>
      </w:pPr>
      <w:r w:rsidRPr="00561AA8">
        <w:t>regulatory and ethics correspondence</w:t>
      </w:r>
    </w:p>
    <w:p w14:paraId="19D96384" w14:textId="6AE5F5A4" w:rsidR="0068192B" w:rsidRPr="00561AA8" w:rsidRDefault="00511ADC" w:rsidP="00561AA8">
      <w:pPr>
        <w:pStyle w:val="ListParagraph"/>
        <w:numPr>
          <w:ilvl w:val="0"/>
          <w:numId w:val="13"/>
        </w:numPr>
        <w:spacing w:before="120" w:after="120"/>
        <w:ind w:left="714" w:hanging="357"/>
        <w:contextualSpacing w:val="0"/>
      </w:pPr>
      <w:r w:rsidRPr="00561AA8">
        <w:t>c</w:t>
      </w:r>
      <w:r w:rsidR="00B1104D" w:rsidRPr="00561AA8">
        <w:t>onsent documentation and processes including s</w:t>
      </w:r>
      <w:r w:rsidR="0068192B" w:rsidRPr="00561AA8">
        <w:t>igned participant PICFs</w:t>
      </w:r>
    </w:p>
    <w:p w14:paraId="43CB8CF4" w14:textId="77777777" w:rsidR="0068192B" w:rsidRPr="00717133" w:rsidRDefault="0068192B" w:rsidP="00561AA8">
      <w:pPr>
        <w:pStyle w:val="ListParagraph"/>
        <w:numPr>
          <w:ilvl w:val="0"/>
          <w:numId w:val="13"/>
        </w:numPr>
        <w:spacing w:before="120" w:after="120"/>
        <w:ind w:left="714" w:hanging="357"/>
        <w:contextualSpacing w:val="0"/>
      </w:pPr>
      <w:r w:rsidRPr="00717133">
        <w:t xml:space="preserve">participant source data </w:t>
      </w:r>
    </w:p>
    <w:p w14:paraId="72EB49D9" w14:textId="77777777" w:rsidR="0068192B" w:rsidRPr="00047BAE" w:rsidRDefault="0068192B" w:rsidP="00561AA8">
      <w:pPr>
        <w:pStyle w:val="ListParagraph"/>
        <w:numPr>
          <w:ilvl w:val="0"/>
          <w:numId w:val="13"/>
        </w:numPr>
        <w:spacing w:before="120" w:after="120"/>
        <w:ind w:left="714" w:hanging="357"/>
        <w:contextualSpacing w:val="0"/>
      </w:pPr>
      <w:r w:rsidRPr="00047BAE">
        <w:t>protocol deviations</w:t>
      </w:r>
    </w:p>
    <w:p w14:paraId="477D0889" w14:textId="77777777" w:rsidR="0068192B" w:rsidRPr="00E612E7" w:rsidRDefault="0068192B" w:rsidP="00561AA8">
      <w:pPr>
        <w:pStyle w:val="ListParagraph"/>
        <w:numPr>
          <w:ilvl w:val="0"/>
          <w:numId w:val="13"/>
        </w:numPr>
        <w:spacing w:before="120" w:after="120"/>
        <w:ind w:left="714" w:hanging="357"/>
        <w:contextualSpacing w:val="0"/>
      </w:pPr>
      <w:r w:rsidRPr="00E612E7">
        <w:t>adverse events</w:t>
      </w:r>
    </w:p>
    <w:p w14:paraId="34C0F99F" w14:textId="77777777" w:rsidR="004E169B" w:rsidRPr="00E612E7" w:rsidRDefault="004E169B" w:rsidP="00561AA8">
      <w:pPr>
        <w:pStyle w:val="ListParagraph"/>
        <w:numPr>
          <w:ilvl w:val="0"/>
          <w:numId w:val="13"/>
        </w:numPr>
        <w:spacing w:before="120" w:after="120"/>
        <w:ind w:left="714" w:hanging="357"/>
        <w:contextualSpacing w:val="0"/>
      </w:pPr>
      <w:r w:rsidRPr="00E612E7">
        <w:t>the ISF, including Pharmacy documents, if applicable</w:t>
      </w:r>
    </w:p>
    <w:p w14:paraId="22BD4F9B" w14:textId="77777777" w:rsidR="0068192B" w:rsidRPr="00E612E7" w:rsidRDefault="0068192B" w:rsidP="00561AA8">
      <w:pPr>
        <w:pStyle w:val="ListParagraph"/>
        <w:numPr>
          <w:ilvl w:val="0"/>
          <w:numId w:val="13"/>
        </w:numPr>
        <w:spacing w:before="120" w:after="120"/>
        <w:ind w:left="714" w:hanging="357"/>
        <w:contextualSpacing w:val="0"/>
      </w:pPr>
      <w:r w:rsidRPr="00E612E7">
        <w:t>Investigational Product receipt, accountability, storage and disposal</w:t>
      </w:r>
    </w:p>
    <w:p w14:paraId="53A3ACFF" w14:textId="77777777" w:rsidR="0068192B" w:rsidRPr="00E612E7" w:rsidRDefault="0068192B" w:rsidP="00561AA8">
      <w:pPr>
        <w:pStyle w:val="ListParagraph"/>
        <w:numPr>
          <w:ilvl w:val="0"/>
          <w:numId w:val="13"/>
        </w:numPr>
        <w:spacing w:before="120" w:after="120"/>
        <w:ind w:left="714" w:hanging="357"/>
        <w:contextualSpacing w:val="0"/>
      </w:pPr>
      <w:r w:rsidRPr="00E612E7">
        <w:t>management of biological samples</w:t>
      </w:r>
    </w:p>
    <w:p w14:paraId="49309B9C" w14:textId="77777777" w:rsidR="0068192B" w:rsidRPr="00E612E7" w:rsidRDefault="0068192B" w:rsidP="00561AA8">
      <w:pPr>
        <w:pStyle w:val="ListParagraph"/>
        <w:numPr>
          <w:ilvl w:val="0"/>
          <w:numId w:val="13"/>
        </w:numPr>
        <w:spacing w:before="120" w:after="120"/>
        <w:ind w:left="714" w:hanging="357"/>
        <w:contextualSpacing w:val="0"/>
      </w:pPr>
      <w:r w:rsidRPr="00E612E7">
        <w:lastRenderedPageBreak/>
        <w:t>equipment maintenance</w:t>
      </w:r>
    </w:p>
    <w:p w14:paraId="68CE9BDE" w14:textId="77777777" w:rsidR="0068192B" w:rsidRPr="00E612E7" w:rsidRDefault="0068192B" w:rsidP="00561AA8">
      <w:pPr>
        <w:pStyle w:val="ListParagraph"/>
        <w:numPr>
          <w:ilvl w:val="0"/>
          <w:numId w:val="13"/>
        </w:numPr>
        <w:spacing w:before="120" w:after="120"/>
        <w:ind w:left="714" w:hanging="357"/>
        <w:contextualSpacing w:val="0"/>
      </w:pPr>
      <w:r w:rsidRPr="00E612E7">
        <w:t>qualifications and training of staff.</w:t>
      </w:r>
    </w:p>
    <w:p w14:paraId="593E7893" w14:textId="699B8555" w:rsidR="0068192B" w:rsidRPr="00561AA8" w:rsidRDefault="00511ADC" w:rsidP="00561AA8">
      <w:pPr>
        <w:pStyle w:val="ListParagraph"/>
        <w:spacing w:before="120" w:after="120"/>
        <w:ind w:left="0"/>
        <w:contextualSpacing w:val="0"/>
      </w:pPr>
      <w:r w:rsidRPr="00E612E7">
        <w:t>2</w:t>
      </w:r>
      <w:r w:rsidR="001B3CE8">
        <w:t>.</w:t>
      </w:r>
      <w:r w:rsidRPr="00E612E7">
        <w:t xml:space="preserve"> </w:t>
      </w:r>
      <w:proofErr w:type="spellStart"/>
      <w:r w:rsidR="006D47B9">
        <w:t>O</w:t>
      </w:r>
      <w:r w:rsidR="000E5477">
        <w:t>f</w:t>
      </w:r>
      <w:r w:rsidR="006D47B9">
        <w:t>R</w:t>
      </w:r>
      <w:proofErr w:type="spellEnd"/>
      <w:r w:rsidR="004517CB" w:rsidRPr="00561AA8">
        <w:t xml:space="preserve"> staff</w:t>
      </w:r>
      <w:r w:rsidRPr="00561AA8">
        <w:t xml:space="preserve"> may compare </w:t>
      </w:r>
      <w:r w:rsidR="0068192B" w:rsidRPr="00561AA8">
        <w:t>source data against the data entered into the CRFs (or data collection forms) will occur.  The number of CRFs reviewed will be dependent upon the number of participants recruited and the risk profile of the trial.</w:t>
      </w:r>
    </w:p>
    <w:p w14:paraId="4CA492F1" w14:textId="36BDFC41" w:rsidR="0068192B" w:rsidRPr="00561AA8" w:rsidRDefault="00511ADC" w:rsidP="00561AA8">
      <w:pPr>
        <w:spacing w:before="120" w:after="120"/>
      </w:pPr>
      <w:r w:rsidRPr="00561AA8">
        <w:t xml:space="preserve">3. </w:t>
      </w:r>
      <w:r w:rsidR="004517CB" w:rsidRPr="00561AA8">
        <w:t>Study team</w:t>
      </w:r>
      <w:r w:rsidR="0068192B" w:rsidRPr="00561AA8">
        <w:t xml:space="preserve"> members may be interviewed regarding details of the conduct of the study.</w:t>
      </w:r>
    </w:p>
    <w:p w14:paraId="60E2839D" w14:textId="69EAE1C7" w:rsidR="0068192B" w:rsidRPr="00561AA8" w:rsidRDefault="0068192B" w:rsidP="00561AA8">
      <w:pPr>
        <w:spacing w:before="120" w:after="120"/>
      </w:pPr>
    </w:p>
    <w:p w14:paraId="642B041A" w14:textId="69CC1E7B" w:rsidR="00B1104D" w:rsidRPr="00561AA8" w:rsidRDefault="00511ADC" w:rsidP="00561AA8">
      <w:pPr>
        <w:pStyle w:val="Heading4"/>
        <w:spacing w:before="120" w:after="120"/>
        <w:rPr>
          <w:rFonts w:asciiTheme="minorHAnsi" w:hAnsiTheme="minorHAnsi" w:cstheme="minorHAnsi"/>
        </w:rPr>
      </w:pPr>
      <w:r w:rsidRPr="00561AA8">
        <w:rPr>
          <w:rFonts w:asciiTheme="minorHAnsi" w:hAnsiTheme="minorHAnsi" w:cstheme="minorHAnsi"/>
        </w:rPr>
        <w:t>2.3</w:t>
      </w:r>
      <w:r w:rsidR="00B1104D" w:rsidRPr="00561AA8">
        <w:rPr>
          <w:rFonts w:asciiTheme="minorHAnsi" w:hAnsiTheme="minorHAnsi" w:cstheme="minorHAnsi"/>
        </w:rPr>
        <w:t xml:space="preserve"> Exit Interview</w:t>
      </w:r>
    </w:p>
    <w:p w14:paraId="614951C7" w14:textId="0E57102F" w:rsidR="00B1104D" w:rsidRPr="00561AA8" w:rsidRDefault="00B1104D" w:rsidP="00561AA8">
      <w:pPr>
        <w:spacing w:before="120" w:after="120"/>
      </w:pPr>
      <w:r w:rsidRPr="00561AA8">
        <w:t xml:space="preserve">At the end of an audit, an exit meeting will be held with the auditees to present and discuss the observations from the auditing activities.  </w:t>
      </w:r>
      <w:proofErr w:type="spellStart"/>
      <w:r w:rsidR="006D47B9">
        <w:t>O</w:t>
      </w:r>
      <w:r w:rsidR="000E5477">
        <w:t>f</w:t>
      </w:r>
      <w:r w:rsidR="006D47B9">
        <w:t>R</w:t>
      </w:r>
      <w:proofErr w:type="spellEnd"/>
      <w:r w:rsidR="004517CB" w:rsidRPr="00561AA8">
        <w:t xml:space="preserve"> staff</w:t>
      </w:r>
      <w:r w:rsidRPr="00561AA8">
        <w:t xml:space="preserve"> will emphasise the critical and major observations.  The exit interview will also provide the auditee with an opportunity to ask questions and clarify the observations from the audit.</w:t>
      </w:r>
    </w:p>
    <w:p w14:paraId="72E47E1C" w14:textId="1BE0E0EE" w:rsidR="00511ADC" w:rsidRPr="00561AA8" w:rsidRDefault="00511ADC" w:rsidP="00561AA8">
      <w:pPr>
        <w:autoSpaceDE/>
        <w:autoSpaceDN/>
        <w:adjustRightInd/>
        <w:spacing w:before="120" w:after="120" w:line="259" w:lineRule="auto"/>
      </w:pPr>
      <w:r w:rsidRPr="00561AA8">
        <w:br w:type="page"/>
      </w:r>
    </w:p>
    <w:p w14:paraId="7096673C" w14:textId="78E5F57B" w:rsidR="004C1C3D" w:rsidRPr="00561AA8" w:rsidRDefault="004C1C3D" w:rsidP="00561AA8">
      <w:pPr>
        <w:pStyle w:val="Heading2"/>
        <w:numPr>
          <w:ilvl w:val="0"/>
          <w:numId w:val="0"/>
        </w:numPr>
        <w:spacing w:before="120" w:after="120"/>
        <w:rPr>
          <w:rFonts w:asciiTheme="minorHAnsi" w:hAnsiTheme="minorHAnsi" w:cstheme="minorHAnsi"/>
          <w:bCs/>
        </w:rPr>
      </w:pPr>
      <w:r w:rsidRPr="00561AA8">
        <w:rPr>
          <w:rFonts w:asciiTheme="minorHAnsi" w:hAnsiTheme="minorHAnsi" w:cstheme="minorHAnsi"/>
        </w:rPr>
        <w:lastRenderedPageBreak/>
        <w:t>APPENDIX 2</w:t>
      </w:r>
      <w:r w:rsidR="00511ADC" w:rsidRPr="00561AA8">
        <w:rPr>
          <w:rFonts w:asciiTheme="minorHAnsi" w:hAnsiTheme="minorHAnsi" w:cstheme="minorHAnsi"/>
        </w:rPr>
        <w:t xml:space="preserve"> – </w:t>
      </w:r>
      <w:r w:rsidR="00561AA8" w:rsidRPr="00561AA8">
        <w:rPr>
          <w:rFonts w:asciiTheme="minorHAnsi" w:hAnsiTheme="minorHAnsi" w:cstheme="minorHAnsi"/>
        </w:rPr>
        <w:t xml:space="preserve">CONDUCT OF </w:t>
      </w:r>
      <w:r w:rsidRPr="00561AA8">
        <w:rPr>
          <w:rFonts w:asciiTheme="minorHAnsi" w:hAnsiTheme="minorHAnsi" w:cstheme="minorHAnsi"/>
          <w:bCs/>
        </w:rPr>
        <w:t>S</w:t>
      </w:r>
      <w:r w:rsidR="00511ADC" w:rsidRPr="00561AA8">
        <w:rPr>
          <w:rFonts w:asciiTheme="minorHAnsi" w:hAnsiTheme="minorHAnsi" w:cstheme="minorHAnsi"/>
          <w:bCs/>
        </w:rPr>
        <w:t>ELF-AUDITS</w:t>
      </w:r>
    </w:p>
    <w:p w14:paraId="181EBA59" w14:textId="3D1489AE" w:rsidR="00511ADC" w:rsidRPr="00561AA8" w:rsidRDefault="00511ADC" w:rsidP="00561AA8">
      <w:pPr>
        <w:pStyle w:val="Heading3"/>
        <w:spacing w:before="120" w:after="120"/>
        <w:rPr>
          <w:rFonts w:cstheme="minorHAnsi"/>
        </w:rPr>
      </w:pPr>
      <w:r w:rsidRPr="00561AA8">
        <w:rPr>
          <w:rFonts w:cstheme="minorHAnsi"/>
        </w:rPr>
        <w:t>1.1. Notification of Self</w:t>
      </w:r>
      <w:r w:rsidR="00E762F5">
        <w:rPr>
          <w:rFonts w:cstheme="minorHAnsi"/>
        </w:rPr>
        <w:t>-</w:t>
      </w:r>
      <w:r w:rsidRPr="00561AA8">
        <w:rPr>
          <w:rFonts w:cstheme="minorHAnsi"/>
        </w:rPr>
        <w:t>Audit</w:t>
      </w:r>
    </w:p>
    <w:p w14:paraId="5798154C" w14:textId="57F2B14D" w:rsidR="00511ADC" w:rsidRPr="00E612E7" w:rsidRDefault="006D47B9" w:rsidP="00561AA8">
      <w:pPr>
        <w:spacing w:before="120" w:after="120"/>
      </w:pPr>
      <w:proofErr w:type="spellStart"/>
      <w:r>
        <w:t>O</w:t>
      </w:r>
      <w:r w:rsidR="000E5477">
        <w:t>f</w:t>
      </w:r>
      <w:r>
        <w:t>R</w:t>
      </w:r>
      <w:proofErr w:type="spellEnd"/>
      <w:r w:rsidR="004517CB" w:rsidRPr="00561AA8">
        <w:t xml:space="preserve"> staff </w:t>
      </w:r>
      <w:r w:rsidR="00511ADC" w:rsidRPr="00561AA8">
        <w:t>will send written notification (letter/email) to the PI and study coordinator/CTC/Research</w:t>
      </w:r>
      <w:r w:rsidR="00511ADC" w:rsidRPr="00717133">
        <w:t xml:space="preserve"> Nurse confirming that the study has been selected for</w:t>
      </w:r>
      <w:r w:rsidR="00511ADC" w:rsidRPr="00047BAE">
        <w:t xml:space="preserve"> Self-Audit and</w:t>
      </w:r>
      <w:r w:rsidR="00D71534" w:rsidRPr="00E612E7">
        <w:t xml:space="preserve"> confirm</w:t>
      </w:r>
      <w:r w:rsidR="004517CB" w:rsidRPr="00E612E7">
        <w:t xml:space="preserve"> the</w:t>
      </w:r>
      <w:r w:rsidR="00511ADC" w:rsidRPr="00E612E7">
        <w:t xml:space="preserve">: </w:t>
      </w:r>
    </w:p>
    <w:p w14:paraId="07AE86DF" w14:textId="1D49ED29" w:rsidR="00D71534" w:rsidRPr="003D2712" w:rsidRDefault="00511ADC" w:rsidP="00561AA8">
      <w:pPr>
        <w:pStyle w:val="ListParagraph"/>
        <w:numPr>
          <w:ilvl w:val="0"/>
          <w:numId w:val="20"/>
        </w:numPr>
        <w:spacing w:before="120" w:after="120"/>
        <w:contextualSpacing w:val="0"/>
      </w:pPr>
      <w:r w:rsidRPr="00E612E7">
        <w:t>scope of the audit</w:t>
      </w:r>
      <w:r w:rsidR="004517CB" w:rsidRPr="00E612E7">
        <w:t xml:space="preserve"> and objectives of the audit</w:t>
      </w:r>
    </w:p>
    <w:p w14:paraId="57F73A32" w14:textId="601D612D" w:rsidR="00D71534" w:rsidRPr="00561AA8" w:rsidRDefault="004517CB" w:rsidP="00561AA8">
      <w:pPr>
        <w:pStyle w:val="ListParagraph"/>
        <w:numPr>
          <w:ilvl w:val="0"/>
          <w:numId w:val="20"/>
        </w:numPr>
        <w:spacing w:before="120" w:after="120"/>
        <w:contextualSpacing w:val="0"/>
      </w:pPr>
      <w:r w:rsidRPr="00561AA8">
        <w:t xml:space="preserve">overview of the </w:t>
      </w:r>
      <w:r w:rsidR="00511ADC" w:rsidRPr="00561AA8">
        <w:t>purpose of the audit program is to support research quality improvement and education across the research platform.</w:t>
      </w:r>
    </w:p>
    <w:p w14:paraId="1B8EC5C9" w14:textId="63A95EFE" w:rsidR="00D71534" w:rsidRPr="00561AA8" w:rsidRDefault="00511ADC" w:rsidP="00561AA8">
      <w:pPr>
        <w:pStyle w:val="ListParagraph"/>
        <w:numPr>
          <w:ilvl w:val="0"/>
          <w:numId w:val="20"/>
        </w:numPr>
        <w:spacing w:before="120" w:after="120"/>
        <w:contextualSpacing w:val="0"/>
      </w:pPr>
      <w:r w:rsidRPr="00561AA8">
        <w:t>reason for selection of this study as random, themed, or for cause.</w:t>
      </w:r>
    </w:p>
    <w:p w14:paraId="080FA0EC" w14:textId="44397489" w:rsidR="004C1C3D" w:rsidRPr="00561AA8" w:rsidRDefault="004517CB" w:rsidP="00561AA8">
      <w:pPr>
        <w:pStyle w:val="ListParagraph"/>
        <w:numPr>
          <w:ilvl w:val="0"/>
          <w:numId w:val="20"/>
        </w:numPr>
        <w:spacing w:before="120" w:after="120"/>
        <w:contextualSpacing w:val="0"/>
      </w:pPr>
      <w:r w:rsidRPr="00561AA8">
        <w:t>i</w:t>
      </w:r>
      <w:r w:rsidR="00D71534" w:rsidRPr="00561AA8">
        <w:t>nstructions on how to conduct the audit and complete a CAPA (if required).</w:t>
      </w:r>
    </w:p>
    <w:p w14:paraId="2EBDA6A1" w14:textId="1488AFB1" w:rsidR="00D71534" w:rsidRPr="00561AA8" w:rsidRDefault="004517CB" w:rsidP="00561AA8">
      <w:pPr>
        <w:pStyle w:val="ListParagraph"/>
        <w:numPr>
          <w:ilvl w:val="0"/>
          <w:numId w:val="20"/>
        </w:numPr>
        <w:spacing w:before="120" w:after="120"/>
        <w:contextualSpacing w:val="0"/>
      </w:pPr>
      <w:r w:rsidRPr="00561AA8">
        <w:t>d</w:t>
      </w:r>
      <w:r w:rsidR="00D71534" w:rsidRPr="00561AA8">
        <w:t xml:space="preserve">ue date for submission of the audit information to the </w:t>
      </w:r>
      <w:proofErr w:type="spellStart"/>
      <w:r w:rsidR="006D47B9">
        <w:t>O</w:t>
      </w:r>
      <w:r w:rsidR="000E5477">
        <w:t>f</w:t>
      </w:r>
      <w:r w:rsidR="006D47B9">
        <w:t>R</w:t>
      </w:r>
      <w:proofErr w:type="spellEnd"/>
      <w:r w:rsidR="00D71534" w:rsidRPr="00561AA8">
        <w:t>.</w:t>
      </w:r>
    </w:p>
    <w:p w14:paraId="45952DB9" w14:textId="5AC8CF2C" w:rsidR="00D71534" w:rsidRPr="00561AA8" w:rsidRDefault="006D47B9" w:rsidP="00561AA8">
      <w:pPr>
        <w:pStyle w:val="ListParagraph"/>
        <w:numPr>
          <w:ilvl w:val="0"/>
          <w:numId w:val="20"/>
        </w:numPr>
        <w:spacing w:before="120" w:after="120"/>
        <w:contextualSpacing w:val="0"/>
      </w:pPr>
      <w:proofErr w:type="spellStart"/>
      <w:r>
        <w:t>O</w:t>
      </w:r>
      <w:r w:rsidR="000E5477">
        <w:t>f</w:t>
      </w:r>
      <w:r>
        <w:t>R</w:t>
      </w:r>
      <w:proofErr w:type="spellEnd"/>
      <w:r w:rsidR="00D71534" w:rsidRPr="00561AA8">
        <w:t xml:space="preserve"> review and process for follow-up information/clarification.</w:t>
      </w:r>
    </w:p>
    <w:p w14:paraId="4030B9B9" w14:textId="16B98A3A" w:rsidR="00D71534" w:rsidRPr="00561AA8" w:rsidRDefault="00D71534" w:rsidP="00561AA8">
      <w:pPr>
        <w:pStyle w:val="ListParagraph"/>
        <w:numPr>
          <w:ilvl w:val="0"/>
          <w:numId w:val="20"/>
        </w:numPr>
        <w:spacing w:before="120" w:after="120"/>
        <w:contextualSpacing w:val="0"/>
      </w:pPr>
      <w:r w:rsidRPr="00561AA8">
        <w:t>Timeline for issue of audit report.</w:t>
      </w:r>
    </w:p>
    <w:p w14:paraId="7853BBC8" w14:textId="2ED8FC8F" w:rsidR="00D71534" w:rsidRPr="00561AA8" w:rsidRDefault="00D71534" w:rsidP="00561AA8">
      <w:pPr>
        <w:pStyle w:val="ListParagraph"/>
        <w:numPr>
          <w:ilvl w:val="0"/>
          <w:numId w:val="20"/>
        </w:numPr>
        <w:spacing w:before="120" w:after="120"/>
        <w:contextualSpacing w:val="0"/>
      </w:pPr>
      <w:r w:rsidRPr="00561AA8">
        <w:t>Process for responding to the report.</w:t>
      </w:r>
    </w:p>
    <w:p w14:paraId="59E31962" w14:textId="64C0BBD3" w:rsidR="00D71534" w:rsidRPr="00561AA8" w:rsidRDefault="00D71534" w:rsidP="00561AA8">
      <w:pPr>
        <w:pStyle w:val="ListParagraph"/>
        <w:numPr>
          <w:ilvl w:val="0"/>
          <w:numId w:val="20"/>
        </w:numPr>
        <w:spacing w:before="120" w:after="120"/>
        <w:contextualSpacing w:val="0"/>
      </w:pPr>
      <w:r w:rsidRPr="00561AA8">
        <w:t xml:space="preserve">Process for </w:t>
      </w:r>
      <w:proofErr w:type="spellStart"/>
      <w:r w:rsidR="006D47B9">
        <w:t>O</w:t>
      </w:r>
      <w:r w:rsidR="000E5477">
        <w:t>f</w:t>
      </w:r>
      <w:r w:rsidR="006D47B9">
        <w:t>R</w:t>
      </w:r>
      <w:proofErr w:type="spellEnd"/>
      <w:r w:rsidRPr="00561AA8">
        <w:t xml:space="preserve"> internal reporting, quality, and educational improvements.</w:t>
      </w:r>
    </w:p>
    <w:p w14:paraId="2EF8D485" w14:textId="4A4CCC54" w:rsidR="006554F0" w:rsidRDefault="006554F0">
      <w:pPr>
        <w:autoSpaceDE/>
        <w:autoSpaceDN/>
        <w:adjustRightInd/>
        <w:spacing w:after="160" w:line="259" w:lineRule="auto"/>
      </w:pPr>
      <w:r>
        <w:br w:type="page"/>
      </w:r>
    </w:p>
    <w:p w14:paraId="7F47993D" w14:textId="77777777" w:rsidR="00D71534" w:rsidRPr="00561AA8" w:rsidRDefault="00D71534" w:rsidP="00561AA8">
      <w:pPr>
        <w:spacing w:before="120" w:after="120"/>
      </w:pPr>
    </w:p>
    <w:p w14:paraId="5774E6A9" w14:textId="1CC0F033" w:rsidR="004D55DB" w:rsidRPr="00561AA8" w:rsidRDefault="004D55DB" w:rsidP="00561AA8">
      <w:pPr>
        <w:pStyle w:val="Heading2"/>
        <w:numPr>
          <w:ilvl w:val="0"/>
          <w:numId w:val="0"/>
        </w:numPr>
        <w:spacing w:before="120" w:after="120"/>
        <w:rPr>
          <w:rFonts w:asciiTheme="minorHAnsi" w:hAnsiTheme="minorHAnsi" w:cstheme="minorHAnsi"/>
        </w:rPr>
      </w:pPr>
      <w:r w:rsidRPr="00561AA8">
        <w:rPr>
          <w:rFonts w:asciiTheme="minorHAnsi" w:hAnsiTheme="minorHAnsi" w:cstheme="minorHAnsi"/>
        </w:rPr>
        <w:t xml:space="preserve">APPENDIX </w:t>
      </w:r>
      <w:r w:rsidR="00D01143" w:rsidRPr="00561AA8">
        <w:rPr>
          <w:rFonts w:asciiTheme="minorHAnsi" w:hAnsiTheme="minorHAnsi" w:cstheme="minorHAnsi"/>
        </w:rPr>
        <w:t>3</w:t>
      </w:r>
      <w:r w:rsidR="00561AA8" w:rsidRPr="00561AA8">
        <w:rPr>
          <w:rFonts w:asciiTheme="minorHAnsi" w:hAnsiTheme="minorHAnsi" w:cstheme="minorHAnsi"/>
        </w:rPr>
        <w:t xml:space="preserve"> – CONDUCT OF VENDOR AUDITS</w:t>
      </w:r>
    </w:p>
    <w:p w14:paraId="0B18B0F1" w14:textId="50F27C9F" w:rsidR="004D55DB" w:rsidRPr="00561AA8" w:rsidRDefault="004D55DB" w:rsidP="00561AA8">
      <w:pPr>
        <w:spacing w:before="120" w:after="120"/>
      </w:pPr>
      <w:r w:rsidRPr="00561AA8">
        <w:t xml:space="preserve">The </w:t>
      </w:r>
      <w:proofErr w:type="spellStart"/>
      <w:r w:rsidR="006D47B9">
        <w:t>O</w:t>
      </w:r>
      <w:r w:rsidR="000E5477">
        <w:t>f</w:t>
      </w:r>
      <w:r w:rsidR="006D47B9">
        <w:t>R</w:t>
      </w:r>
      <w:proofErr w:type="spellEnd"/>
      <w:r w:rsidRPr="00561AA8">
        <w:t xml:space="preserve"> will determine the frequency and scope for Vendor Audits in liaison with the Group Director of Research and Development, and </w:t>
      </w:r>
      <w:r w:rsidR="001B3CE8">
        <w:t xml:space="preserve">Group Director </w:t>
      </w:r>
      <w:r w:rsidRPr="00561AA8">
        <w:t>Clinical Governance (as required).</w:t>
      </w:r>
    </w:p>
    <w:p w14:paraId="4D48BBB5" w14:textId="01A3B9FB" w:rsidR="004D55DB" w:rsidRPr="00561AA8" w:rsidRDefault="004D55DB" w:rsidP="00561AA8">
      <w:pPr>
        <w:spacing w:before="120" w:after="120"/>
      </w:pPr>
      <w:r w:rsidRPr="00561AA8">
        <w:t xml:space="preserve">The process for conduct of on-site audits is described in Appendix </w:t>
      </w:r>
      <w:r w:rsidR="00CE465C">
        <w:t>1</w:t>
      </w:r>
      <w:r w:rsidRPr="00561AA8">
        <w:t>.</w:t>
      </w:r>
    </w:p>
    <w:p w14:paraId="7A55E465" w14:textId="77777777" w:rsidR="004D55DB" w:rsidRPr="00561AA8" w:rsidRDefault="004D55DB" w:rsidP="00561AA8">
      <w:pPr>
        <w:spacing w:before="120" w:after="120"/>
      </w:pPr>
      <w:r w:rsidRPr="00561AA8">
        <w:t xml:space="preserve">The auditor will notify the vendor in writing of the request for a vendor audit and negotiate a specific date(s) and time to conduct the audit.  </w:t>
      </w:r>
    </w:p>
    <w:p w14:paraId="4C27E822" w14:textId="77777777" w:rsidR="004D55DB" w:rsidRPr="00561AA8" w:rsidRDefault="004D55DB" w:rsidP="00561AA8">
      <w:pPr>
        <w:spacing w:before="120" w:after="120"/>
      </w:pPr>
      <w:r w:rsidRPr="00561AA8">
        <w:t>The auditor will confirm in writing with the vendor:</w:t>
      </w:r>
    </w:p>
    <w:p w14:paraId="32013A7E" w14:textId="77777777" w:rsidR="004D55DB" w:rsidRPr="00561AA8" w:rsidRDefault="004D55DB" w:rsidP="00561AA8">
      <w:pPr>
        <w:pStyle w:val="ListParagraph"/>
        <w:numPr>
          <w:ilvl w:val="0"/>
          <w:numId w:val="20"/>
        </w:numPr>
        <w:spacing w:before="120" w:after="120"/>
        <w:contextualSpacing w:val="0"/>
      </w:pPr>
      <w:r w:rsidRPr="00561AA8">
        <w:t xml:space="preserve">the audit date(s) </w:t>
      </w:r>
    </w:p>
    <w:p w14:paraId="742DBAF4" w14:textId="77777777" w:rsidR="004D55DB" w:rsidRPr="00561AA8" w:rsidRDefault="004D55DB" w:rsidP="00561AA8">
      <w:pPr>
        <w:pStyle w:val="ListParagraph"/>
        <w:numPr>
          <w:ilvl w:val="0"/>
          <w:numId w:val="20"/>
        </w:numPr>
        <w:spacing w:before="120" w:after="120"/>
        <w:contextualSpacing w:val="0"/>
      </w:pPr>
      <w:r w:rsidRPr="00561AA8">
        <w:t>required personnel</w:t>
      </w:r>
    </w:p>
    <w:p w14:paraId="196A11E9" w14:textId="77777777" w:rsidR="004D55DB" w:rsidRPr="00561AA8" w:rsidRDefault="004D55DB" w:rsidP="00561AA8">
      <w:pPr>
        <w:pStyle w:val="ListParagraph"/>
        <w:numPr>
          <w:ilvl w:val="0"/>
          <w:numId w:val="20"/>
        </w:numPr>
        <w:spacing w:before="120" w:after="120"/>
        <w:contextualSpacing w:val="0"/>
      </w:pPr>
      <w:r w:rsidRPr="00561AA8">
        <w:t xml:space="preserve">the purpose or the audit </w:t>
      </w:r>
    </w:p>
    <w:p w14:paraId="153DE772" w14:textId="77777777" w:rsidR="004D55DB" w:rsidRPr="00561AA8" w:rsidRDefault="004D55DB" w:rsidP="00561AA8">
      <w:pPr>
        <w:pStyle w:val="ListParagraph"/>
        <w:numPr>
          <w:ilvl w:val="0"/>
          <w:numId w:val="20"/>
        </w:numPr>
        <w:spacing w:before="120" w:after="120"/>
        <w:contextualSpacing w:val="0"/>
      </w:pPr>
      <w:r w:rsidRPr="00561AA8">
        <w:t>the scope of the audit</w:t>
      </w:r>
    </w:p>
    <w:p w14:paraId="02E4C50D" w14:textId="77777777" w:rsidR="004D55DB" w:rsidRPr="00561AA8" w:rsidRDefault="004D55DB" w:rsidP="00561AA8">
      <w:pPr>
        <w:pStyle w:val="ListParagraph"/>
        <w:numPr>
          <w:ilvl w:val="0"/>
          <w:numId w:val="20"/>
        </w:numPr>
        <w:spacing w:before="120" w:after="120"/>
        <w:contextualSpacing w:val="0"/>
      </w:pPr>
      <w:r w:rsidRPr="00561AA8">
        <w:t>any additional specific needs for the audit e.g., desk space, visits to laboratories, clinical trial centres/units.</w:t>
      </w:r>
    </w:p>
    <w:p w14:paraId="27287DF5" w14:textId="435FDFA5" w:rsidR="004D55DB" w:rsidRPr="00E612E7" w:rsidRDefault="004D55DB" w:rsidP="00561AA8">
      <w:pPr>
        <w:spacing w:before="120" w:after="120"/>
      </w:pPr>
      <w:r w:rsidRPr="00717133">
        <w:t>The auditor will request documents pertaining to the vendor’s processes as well as any documents related to specific trials prior to th</w:t>
      </w:r>
      <w:r w:rsidRPr="00047BAE">
        <w:t xml:space="preserve">e </w:t>
      </w:r>
      <w:r w:rsidR="00D01143" w:rsidRPr="00E612E7">
        <w:t>audit</w:t>
      </w:r>
      <w:r w:rsidRPr="00E612E7">
        <w:t>.</w:t>
      </w:r>
    </w:p>
    <w:sectPr w:rsidR="004D55DB" w:rsidRPr="00E612E7" w:rsidSect="003D0A6F">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5C83" w14:textId="77777777" w:rsidR="000F0D0C" w:rsidRDefault="000F0D0C" w:rsidP="00BD2135">
      <w:r>
        <w:separator/>
      </w:r>
    </w:p>
    <w:p w14:paraId="431CC9C2" w14:textId="77777777" w:rsidR="000F0D0C" w:rsidRDefault="000F0D0C" w:rsidP="00BD2135"/>
  </w:endnote>
  <w:endnote w:type="continuationSeparator" w:id="0">
    <w:p w14:paraId="1A88AB8B" w14:textId="77777777" w:rsidR="000F0D0C" w:rsidRDefault="000F0D0C" w:rsidP="00BD2135">
      <w:r>
        <w:continuationSeparator/>
      </w:r>
    </w:p>
    <w:p w14:paraId="0829A075" w14:textId="77777777" w:rsidR="000F0D0C" w:rsidRDefault="000F0D0C" w:rsidP="00BD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A246" w14:textId="77777777" w:rsidR="00587D75" w:rsidRDefault="00587D75" w:rsidP="00587D75">
    <w:pPr>
      <w:spacing w:after="0"/>
      <w:jc w:val="center"/>
      <w:rPr>
        <w:rFonts w:ascii="Calibri" w:hAnsi="Calibri" w:cs="Times New Roman"/>
        <w:b/>
        <w:color w:val="FF0000"/>
        <w:sz w:val="16"/>
        <w:szCs w:val="24"/>
        <w:lang w:eastAsia="x-none"/>
      </w:rPr>
    </w:pPr>
    <w:r>
      <w:tab/>
    </w:r>
    <w:r w:rsidRPr="000E3856">
      <w:rPr>
        <w:rFonts w:ascii="Calibri" w:hAnsi="Calibri" w:cs="Times New Roman"/>
        <w:b/>
        <w:color w:val="FF0000"/>
        <w:sz w:val="16"/>
        <w:szCs w:val="24"/>
        <w:lang w:eastAsia="x-none"/>
      </w:rPr>
      <w:t>Uncontrolled when downloaded or printed. Please ensure you are working from the current version.</w:t>
    </w:r>
  </w:p>
  <w:p w14:paraId="193F2D60" w14:textId="77777777" w:rsidR="00587D75" w:rsidRPr="000E3856" w:rsidRDefault="00587D75" w:rsidP="00587D75">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6"/>
      <w:gridCol w:w="1985"/>
      <w:gridCol w:w="2126"/>
      <w:gridCol w:w="2126"/>
      <w:gridCol w:w="1505"/>
    </w:tblGrid>
    <w:tr w:rsidR="00587D75" w:rsidRPr="00210963" w14:paraId="0FA8DFF5" w14:textId="77777777" w:rsidTr="003E4C4A">
      <w:trPr>
        <w:tblCellSpacing w:w="20" w:type="dxa"/>
      </w:trPr>
      <w:tc>
        <w:tcPr>
          <w:tcW w:w="1216" w:type="dxa"/>
        </w:tcPr>
        <w:p w14:paraId="27BC7C77" w14:textId="77777777" w:rsidR="00587D75" w:rsidRPr="00251510" w:rsidRDefault="00587D75" w:rsidP="00587D75">
          <w:pPr>
            <w:tabs>
              <w:tab w:val="center" w:pos="4962"/>
              <w:tab w:val="right" w:pos="9837"/>
            </w:tabs>
            <w:autoSpaceDE/>
            <w:autoSpaceDN/>
            <w:adjustRightInd/>
            <w:spacing w:after="0"/>
            <w:rPr>
              <w:rFonts w:ascii="Calibri" w:hAnsi="Calibri" w:cs="Times New Roman"/>
              <w:b/>
              <w:sz w:val="16"/>
              <w:szCs w:val="24"/>
              <w:lang w:eastAsia="x-none"/>
            </w:rPr>
          </w:pPr>
          <w:r w:rsidRPr="003E4C4A">
            <w:rPr>
              <w:rFonts w:ascii="Calibri" w:hAnsi="Calibri" w:cs="Times New Roman"/>
              <w:b/>
              <w:sz w:val="16"/>
              <w:szCs w:val="24"/>
              <w:lang w:eastAsia="x-none"/>
            </w:rPr>
            <w:t>SOP-QA-05</w:t>
          </w:r>
        </w:p>
      </w:tc>
      <w:tc>
        <w:tcPr>
          <w:tcW w:w="1945" w:type="dxa"/>
        </w:tcPr>
        <w:p w14:paraId="04FFAABD" w14:textId="57DB3A6E" w:rsidR="00587D75" w:rsidRPr="003E4C4A" w:rsidRDefault="00587D75" w:rsidP="00587D75">
          <w:pPr>
            <w:tabs>
              <w:tab w:val="center" w:pos="4962"/>
              <w:tab w:val="right" w:pos="9837"/>
            </w:tabs>
            <w:autoSpaceDE/>
            <w:autoSpaceDN/>
            <w:adjustRightInd/>
            <w:spacing w:after="0"/>
            <w:rPr>
              <w:rFonts w:ascii="Calibri" w:hAnsi="Calibri" w:cs="Times New Roman"/>
              <w:b/>
              <w:sz w:val="16"/>
              <w:szCs w:val="24"/>
              <w:lang w:val="x-none" w:eastAsia="x-none"/>
            </w:rPr>
          </w:pPr>
          <w:r w:rsidRPr="003E4C4A">
            <w:rPr>
              <w:rFonts w:ascii="Calibri" w:hAnsi="Calibri" w:cs="Times New Roman"/>
              <w:b/>
              <w:sz w:val="16"/>
              <w:szCs w:val="24"/>
              <w:lang w:val="x-none" w:eastAsia="x-none"/>
            </w:rPr>
            <w:t>Version</w:t>
          </w:r>
          <w:r w:rsidRPr="003E4C4A">
            <w:rPr>
              <w:rFonts w:ascii="Calibri" w:hAnsi="Calibri" w:cs="Times New Roman"/>
              <w:b/>
              <w:sz w:val="16"/>
              <w:szCs w:val="24"/>
              <w:lang w:val="en-US" w:eastAsia="x-none"/>
            </w:rPr>
            <w:t>:</w:t>
          </w:r>
          <w:r w:rsidR="00504B83">
            <w:rPr>
              <w:rFonts w:ascii="Calibri" w:hAnsi="Calibri" w:cs="Times New Roman"/>
              <w:b/>
              <w:sz w:val="16"/>
              <w:szCs w:val="24"/>
              <w:lang w:val="x-none" w:eastAsia="x-none"/>
            </w:rPr>
            <w:t xml:space="preserve"> 3.0 15Feb2024</w:t>
          </w:r>
        </w:p>
      </w:tc>
      <w:tc>
        <w:tcPr>
          <w:tcW w:w="2086" w:type="dxa"/>
        </w:tcPr>
        <w:p w14:paraId="5F45CF67" w14:textId="32796534" w:rsidR="00587D75" w:rsidRPr="00251510" w:rsidRDefault="00504B83" w:rsidP="00587D75">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Effective Date: 15 Feb 2024</w:t>
          </w:r>
        </w:p>
      </w:tc>
      <w:tc>
        <w:tcPr>
          <w:tcW w:w="2086" w:type="dxa"/>
        </w:tcPr>
        <w:p w14:paraId="14328BD8" w14:textId="5C564D90" w:rsidR="00587D75" w:rsidRPr="003E4C4A" w:rsidRDefault="00504B83" w:rsidP="00587D75">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Review Date: 15 Feb</w:t>
          </w:r>
          <w:r w:rsidR="00587D75" w:rsidRPr="003E4C4A">
            <w:rPr>
              <w:rFonts w:ascii="Calibri" w:hAnsi="Calibri" w:cs="Times New Roman"/>
              <w:b/>
              <w:sz w:val="16"/>
              <w:szCs w:val="24"/>
              <w:lang w:val="en-GB" w:eastAsia="x-none"/>
            </w:rPr>
            <w:t xml:space="preserve"> 202</w:t>
          </w:r>
          <w:r>
            <w:rPr>
              <w:rFonts w:ascii="Calibri" w:hAnsi="Calibri" w:cs="Times New Roman"/>
              <w:b/>
              <w:sz w:val="16"/>
              <w:szCs w:val="24"/>
              <w:lang w:val="en-GB" w:eastAsia="x-none"/>
            </w:rPr>
            <w:t>7</w:t>
          </w:r>
        </w:p>
      </w:tc>
      <w:tc>
        <w:tcPr>
          <w:tcW w:w="1445" w:type="dxa"/>
        </w:tcPr>
        <w:p w14:paraId="722BA6BF" w14:textId="38DEC8E0" w:rsidR="00587D75" w:rsidRPr="00210963" w:rsidRDefault="003D0A6F" w:rsidP="00587D75">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812862214"/>
              <w:docPartObj>
                <w:docPartGallery w:val="Page Numbers (Top of Page)"/>
                <w:docPartUnique/>
              </w:docPartObj>
            </w:sdtPr>
            <w:sdtEndPr/>
            <w:sdtContent>
              <w:sdt>
                <w:sdtPr>
                  <w:rPr>
                    <w:rFonts w:ascii="Calibri" w:hAnsi="Calibri" w:cs="Times New Roman"/>
                    <w:b/>
                    <w:sz w:val="16"/>
                    <w:szCs w:val="24"/>
                    <w:lang w:eastAsia="x-none"/>
                  </w:rPr>
                  <w:id w:val="-315426603"/>
                  <w:docPartObj>
                    <w:docPartGallery w:val="Page Numbers (Top of Page)"/>
                    <w:docPartUnique/>
                  </w:docPartObj>
                </w:sdtPr>
                <w:sdtEndPr>
                  <w:rPr>
                    <w:lang w:val="x-none"/>
                  </w:rPr>
                </w:sdtEndPr>
                <w:sdtContent>
                  <w:r w:rsidR="00587D75" w:rsidRPr="00F5477D">
                    <w:rPr>
                      <w:rFonts w:ascii="Calibri" w:hAnsi="Calibri" w:cs="Times New Roman"/>
                      <w:b/>
                      <w:sz w:val="16"/>
                      <w:szCs w:val="24"/>
                      <w:lang w:eastAsia="x-none"/>
                    </w:rPr>
                    <w:t xml:space="preserve">Page </w:t>
                  </w:r>
                  <w:r w:rsidR="00587D75" w:rsidRPr="00F5477D">
                    <w:rPr>
                      <w:rFonts w:ascii="Calibri" w:hAnsi="Calibri" w:cs="Times New Roman"/>
                      <w:b/>
                      <w:sz w:val="16"/>
                      <w:szCs w:val="24"/>
                      <w:lang w:eastAsia="x-none"/>
                    </w:rPr>
                    <w:fldChar w:fldCharType="begin"/>
                  </w:r>
                  <w:r w:rsidR="00587D75" w:rsidRPr="00F5477D">
                    <w:rPr>
                      <w:rFonts w:ascii="Calibri" w:hAnsi="Calibri" w:cs="Times New Roman"/>
                      <w:b/>
                      <w:sz w:val="16"/>
                      <w:szCs w:val="24"/>
                      <w:lang w:eastAsia="x-none"/>
                    </w:rPr>
                    <w:instrText xml:space="preserve"> PAGE </w:instrText>
                  </w:r>
                  <w:r w:rsidR="00587D75"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2</w:t>
                  </w:r>
                  <w:r w:rsidR="00587D75" w:rsidRPr="00F5477D">
                    <w:rPr>
                      <w:rFonts w:ascii="Calibri" w:hAnsi="Calibri" w:cs="Times New Roman"/>
                      <w:b/>
                      <w:sz w:val="16"/>
                      <w:szCs w:val="24"/>
                      <w:lang w:val="x-none" w:eastAsia="x-none"/>
                    </w:rPr>
                    <w:fldChar w:fldCharType="end"/>
                  </w:r>
                  <w:r w:rsidR="00587D75" w:rsidRPr="00F5477D">
                    <w:rPr>
                      <w:rFonts w:ascii="Calibri" w:hAnsi="Calibri" w:cs="Times New Roman"/>
                      <w:b/>
                      <w:sz w:val="16"/>
                      <w:szCs w:val="24"/>
                      <w:lang w:eastAsia="x-none"/>
                    </w:rPr>
                    <w:t xml:space="preserve"> of </w:t>
                  </w:r>
                  <w:r w:rsidR="00587D75" w:rsidRPr="00F5477D">
                    <w:rPr>
                      <w:rFonts w:ascii="Calibri" w:hAnsi="Calibri" w:cs="Times New Roman"/>
                      <w:b/>
                      <w:sz w:val="16"/>
                      <w:szCs w:val="24"/>
                      <w:lang w:eastAsia="x-none"/>
                    </w:rPr>
                    <w:fldChar w:fldCharType="begin"/>
                  </w:r>
                  <w:r w:rsidR="00587D75" w:rsidRPr="00F5477D">
                    <w:rPr>
                      <w:rFonts w:ascii="Calibri" w:hAnsi="Calibri" w:cs="Times New Roman"/>
                      <w:b/>
                      <w:sz w:val="16"/>
                      <w:szCs w:val="24"/>
                      <w:lang w:eastAsia="x-none"/>
                    </w:rPr>
                    <w:instrText xml:space="preserve"> NUMPAGES  </w:instrText>
                  </w:r>
                  <w:r w:rsidR="00587D75"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13</w:t>
                  </w:r>
                  <w:r w:rsidR="00587D75" w:rsidRPr="00F5477D">
                    <w:rPr>
                      <w:rFonts w:ascii="Calibri" w:hAnsi="Calibri" w:cs="Times New Roman"/>
                      <w:b/>
                      <w:sz w:val="16"/>
                      <w:szCs w:val="24"/>
                      <w:lang w:val="x-none" w:eastAsia="x-none"/>
                    </w:rPr>
                    <w:fldChar w:fldCharType="end"/>
                  </w:r>
                </w:sdtContent>
              </w:sdt>
            </w:sdtContent>
          </w:sdt>
        </w:p>
      </w:tc>
    </w:tr>
    <w:tr w:rsidR="00587D75" w:rsidRPr="00210963" w14:paraId="297C2B34" w14:textId="77777777" w:rsidTr="003E4C4A">
      <w:trPr>
        <w:tblCellSpacing w:w="20" w:type="dxa"/>
      </w:trPr>
      <w:tc>
        <w:tcPr>
          <w:tcW w:w="8938" w:type="dxa"/>
          <w:gridSpan w:val="5"/>
        </w:tcPr>
        <w:p w14:paraId="5CA46323" w14:textId="3708286B" w:rsidR="00587D75" w:rsidRPr="00F5477D" w:rsidRDefault="00587D75" w:rsidP="00587D75">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504B83">
            <w:rPr>
              <w:rFonts w:ascii="Calibri" w:hAnsi="Calibri" w:cs="Times New Roman"/>
              <w:i/>
              <w:sz w:val="16"/>
              <w:szCs w:val="24"/>
              <w:lang w:eastAsia="x-none"/>
            </w:rPr>
            <w:t>15Feb2024</w:t>
          </w:r>
        </w:p>
      </w:tc>
    </w:tr>
  </w:tbl>
  <w:p w14:paraId="563F7B28" w14:textId="1E0689B5" w:rsidR="000F0D0C" w:rsidRDefault="000F0D0C" w:rsidP="003D0A6F">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53665456"/>
      <w:docPartObj>
        <w:docPartGallery w:val="Page Numbers (Bottom of Page)"/>
        <w:docPartUnique/>
      </w:docPartObj>
    </w:sdtPr>
    <w:sdtEndPr/>
    <w:sdtContent>
      <w:sdt>
        <w:sdtPr>
          <w:rPr>
            <w:b/>
            <w:sz w:val="18"/>
            <w:szCs w:val="18"/>
          </w:rPr>
          <w:id w:val="2142386709"/>
          <w:docPartObj>
            <w:docPartGallery w:val="Page Numbers (Top of Page)"/>
            <w:docPartUnique/>
          </w:docPartObj>
        </w:sdtPr>
        <w:sdtEndPr/>
        <w:sdtContent>
          <w:p w14:paraId="7D0563DA" w14:textId="77777777" w:rsidR="00587D75" w:rsidRDefault="00587D75" w:rsidP="00587D75">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52D49941" w14:textId="77777777" w:rsidR="00587D75" w:rsidRPr="000E3856" w:rsidRDefault="00587D75" w:rsidP="00587D75">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6"/>
              <w:gridCol w:w="1985"/>
              <w:gridCol w:w="2126"/>
              <w:gridCol w:w="2126"/>
              <w:gridCol w:w="1505"/>
            </w:tblGrid>
            <w:tr w:rsidR="00587D75" w:rsidRPr="00210963" w14:paraId="3C50DE29" w14:textId="77777777" w:rsidTr="003E4C4A">
              <w:trPr>
                <w:tblCellSpacing w:w="20" w:type="dxa"/>
              </w:trPr>
              <w:tc>
                <w:tcPr>
                  <w:tcW w:w="1216" w:type="dxa"/>
                </w:tcPr>
                <w:p w14:paraId="41084494" w14:textId="77777777" w:rsidR="00587D75" w:rsidRPr="00251510" w:rsidRDefault="00587D75" w:rsidP="00587D75">
                  <w:pPr>
                    <w:tabs>
                      <w:tab w:val="center" w:pos="4962"/>
                      <w:tab w:val="right" w:pos="9837"/>
                    </w:tabs>
                    <w:autoSpaceDE/>
                    <w:autoSpaceDN/>
                    <w:adjustRightInd/>
                    <w:spacing w:after="0"/>
                    <w:rPr>
                      <w:rFonts w:ascii="Calibri" w:hAnsi="Calibri" w:cs="Times New Roman"/>
                      <w:b/>
                      <w:sz w:val="16"/>
                      <w:szCs w:val="24"/>
                      <w:lang w:eastAsia="x-none"/>
                    </w:rPr>
                  </w:pPr>
                  <w:r w:rsidRPr="003E4C4A">
                    <w:rPr>
                      <w:rFonts w:ascii="Calibri" w:hAnsi="Calibri" w:cs="Times New Roman"/>
                      <w:b/>
                      <w:sz w:val="16"/>
                      <w:szCs w:val="24"/>
                      <w:lang w:eastAsia="x-none"/>
                    </w:rPr>
                    <w:t>SOP-QA-05</w:t>
                  </w:r>
                </w:p>
              </w:tc>
              <w:tc>
                <w:tcPr>
                  <w:tcW w:w="1945" w:type="dxa"/>
                </w:tcPr>
                <w:p w14:paraId="753BC62B" w14:textId="050E9BBC" w:rsidR="00587D75" w:rsidRPr="003E4C4A" w:rsidRDefault="00587D75" w:rsidP="00587D75">
                  <w:pPr>
                    <w:tabs>
                      <w:tab w:val="center" w:pos="4962"/>
                      <w:tab w:val="right" w:pos="9837"/>
                    </w:tabs>
                    <w:autoSpaceDE/>
                    <w:autoSpaceDN/>
                    <w:adjustRightInd/>
                    <w:spacing w:after="0"/>
                    <w:rPr>
                      <w:rFonts w:ascii="Calibri" w:hAnsi="Calibri" w:cs="Times New Roman"/>
                      <w:b/>
                      <w:sz w:val="16"/>
                      <w:szCs w:val="24"/>
                      <w:lang w:val="x-none" w:eastAsia="x-none"/>
                    </w:rPr>
                  </w:pPr>
                  <w:r w:rsidRPr="003E4C4A">
                    <w:rPr>
                      <w:rFonts w:ascii="Calibri" w:hAnsi="Calibri" w:cs="Times New Roman"/>
                      <w:b/>
                      <w:sz w:val="16"/>
                      <w:szCs w:val="24"/>
                      <w:lang w:val="x-none" w:eastAsia="x-none"/>
                    </w:rPr>
                    <w:t>Version</w:t>
                  </w:r>
                  <w:r w:rsidRPr="003E4C4A">
                    <w:rPr>
                      <w:rFonts w:ascii="Calibri" w:hAnsi="Calibri" w:cs="Times New Roman"/>
                      <w:b/>
                      <w:sz w:val="16"/>
                      <w:szCs w:val="24"/>
                      <w:lang w:val="en-US" w:eastAsia="x-none"/>
                    </w:rPr>
                    <w:t>:</w:t>
                  </w:r>
                  <w:r w:rsidR="00504B83">
                    <w:rPr>
                      <w:rFonts w:ascii="Calibri" w:hAnsi="Calibri" w:cs="Times New Roman"/>
                      <w:b/>
                      <w:sz w:val="16"/>
                      <w:szCs w:val="24"/>
                      <w:lang w:val="x-none" w:eastAsia="x-none"/>
                    </w:rPr>
                    <w:t xml:space="preserve"> 3.0 15Feb2024</w:t>
                  </w:r>
                </w:p>
              </w:tc>
              <w:tc>
                <w:tcPr>
                  <w:tcW w:w="2086" w:type="dxa"/>
                </w:tcPr>
                <w:p w14:paraId="112E48C0" w14:textId="543A81B1" w:rsidR="00587D75" w:rsidRPr="00251510" w:rsidRDefault="00504B83" w:rsidP="00587D75">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Effective Date: 15 Feb 2024</w:t>
                  </w:r>
                </w:p>
              </w:tc>
              <w:tc>
                <w:tcPr>
                  <w:tcW w:w="2086" w:type="dxa"/>
                </w:tcPr>
                <w:p w14:paraId="37A99B3B" w14:textId="5FB5C851" w:rsidR="00587D75" w:rsidRPr="003E4C4A" w:rsidRDefault="00504B83" w:rsidP="00587D75">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Review Date: 15 Feb</w:t>
                  </w:r>
                  <w:r w:rsidR="00587D75" w:rsidRPr="003E4C4A">
                    <w:rPr>
                      <w:rFonts w:ascii="Calibri" w:hAnsi="Calibri" w:cs="Times New Roman"/>
                      <w:b/>
                      <w:sz w:val="16"/>
                      <w:szCs w:val="24"/>
                      <w:lang w:val="en-GB" w:eastAsia="x-none"/>
                    </w:rPr>
                    <w:t xml:space="preserve"> 202</w:t>
                  </w:r>
                  <w:r>
                    <w:rPr>
                      <w:rFonts w:ascii="Calibri" w:hAnsi="Calibri" w:cs="Times New Roman"/>
                      <w:b/>
                      <w:sz w:val="16"/>
                      <w:szCs w:val="24"/>
                      <w:lang w:val="en-GB" w:eastAsia="x-none"/>
                    </w:rPr>
                    <w:t>7</w:t>
                  </w:r>
                </w:p>
              </w:tc>
              <w:tc>
                <w:tcPr>
                  <w:tcW w:w="1445" w:type="dxa"/>
                </w:tcPr>
                <w:p w14:paraId="00B50A18" w14:textId="1C542B55" w:rsidR="00587D75" w:rsidRPr="00210963" w:rsidRDefault="003D0A6F" w:rsidP="00587D75">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396668990"/>
                      <w:docPartObj>
                        <w:docPartGallery w:val="Page Numbers (Top of Page)"/>
                        <w:docPartUnique/>
                      </w:docPartObj>
                    </w:sdtPr>
                    <w:sdtEndPr/>
                    <w:sdtContent>
                      <w:sdt>
                        <w:sdtPr>
                          <w:rPr>
                            <w:rFonts w:ascii="Calibri" w:hAnsi="Calibri" w:cs="Times New Roman"/>
                            <w:b/>
                            <w:sz w:val="16"/>
                            <w:szCs w:val="24"/>
                            <w:lang w:eastAsia="x-none"/>
                          </w:rPr>
                          <w:id w:val="376045171"/>
                          <w:docPartObj>
                            <w:docPartGallery w:val="Page Numbers (Top of Page)"/>
                            <w:docPartUnique/>
                          </w:docPartObj>
                        </w:sdtPr>
                        <w:sdtEndPr>
                          <w:rPr>
                            <w:lang w:val="x-none"/>
                          </w:rPr>
                        </w:sdtEndPr>
                        <w:sdtContent>
                          <w:r w:rsidR="00587D75" w:rsidRPr="00F5477D">
                            <w:rPr>
                              <w:rFonts w:ascii="Calibri" w:hAnsi="Calibri" w:cs="Times New Roman"/>
                              <w:b/>
                              <w:sz w:val="16"/>
                              <w:szCs w:val="24"/>
                              <w:lang w:eastAsia="x-none"/>
                            </w:rPr>
                            <w:t xml:space="preserve">Page </w:t>
                          </w:r>
                          <w:r w:rsidR="00587D75" w:rsidRPr="00F5477D">
                            <w:rPr>
                              <w:rFonts w:ascii="Calibri" w:hAnsi="Calibri" w:cs="Times New Roman"/>
                              <w:b/>
                              <w:sz w:val="16"/>
                              <w:szCs w:val="24"/>
                              <w:lang w:eastAsia="x-none"/>
                            </w:rPr>
                            <w:fldChar w:fldCharType="begin"/>
                          </w:r>
                          <w:r w:rsidR="00587D75" w:rsidRPr="00F5477D">
                            <w:rPr>
                              <w:rFonts w:ascii="Calibri" w:hAnsi="Calibri" w:cs="Times New Roman"/>
                              <w:b/>
                              <w:sz w:val="16"/>
                              <w:szCs w:val="24"/>
                              <w:lang w:eastAsia="x-none"/>
                            </w:rPr>
                            <w:instrText xml:space="preserve"> PAGE </w:instrText>
                          </w:r>
                          <w:r w:rsidR="00587D75"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w:t>
                          </w:r>
                          <w:r w:rsidR="00587D75" w:rsidRPr="00F5477D">
                            <w:rPr>
                              <w:rFonts w:ascii="Calibri" w:hAnsi="Calibri" w:cs="Times New Roman"/>
                              <w:b/>
                              <w:sz w:val="16"/>
                              <w:szCs w:val="24"/>
                              <w:lang w:val="x-none" w:eastAsia="x-none"/>
                            </w:rPr>
                            <w:fldChar w:fldCharType="end"/>
                          </w:r>
                          <w:r w:rsidR="00587D75" w:rsidRPr="00F5477D">
                            <w:rPr>
                              <w:rFonts w:ascii="Calibri" w:hAnsi="Calibri" w:cs="Times New Roman"/>
                              <w:b/>
                              <w:sz w:val="16"/>
                              <w:szCs w:val="24"/>
                              <w:lang w:eastAsia="x-none"/>
                            </w:rPr>
                            <w:t xml:space="preserve"> of </w:t>
                          </w:r>
                          <w:r w:rsidR="00587D75" w:rsidRPr="00F5477D">
                            <w:rPr>
                              <w:rFonts w:ascii="Calibri" w:hAnsi="Calibri" w:cs="Times New Roman"/>
                              <w:b/>
                              <w:sz w:val="16"/>
                              <w:szCs w:val="24"/>
                              <w:lang w:eastAsia="x-none"/>
                            </w:rPr>
                            <w:fldChar w:fldCharType="begin"/>
                          </w:r>
                          <w:r w:rsidR="00587D75" w:rsidRPr="00F5477D">
                            <w:rPr>
                              <w:rFonts w:ascii="Calibri" w:hAnsi="Calibri" w:cs="Times New Roman"/>
                              <w:b/>
                              <w:sz w:val="16"/>
                              <w:szCs w:val="24"/>
                              <w:lang w:eastAsia="x-none"/>
                            </w:rPr>
                            <w:instrText xml:space="preserve"> NUMPAGES  </w:instrText>
                          </w:r>
                          <w:r w:rsidR="00587D75"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13</w:t>
                          </w:r>
                          <w:r w:rsidR="00587D75" w:rsidRPr="00F5477D">
                            <w:rPr>
                              <w:rFonts w:ascii="Calibri" w:hAnsi="Calibri" w:cs="Times New Roman"/>
                              <w:b/>
                              <w:sz w:val="16"/>
                              <w:szCs w:val="24"/>
                              <w:lang w:val="x-none" w:eastAsia="x-none"/>
                            </w:rPr>
                            <w:fldChar w:fldCharType="end"/>
                          </w:r>
                        </w:sdtContent>
                      </w:sdt>
                    </w:sdtContent>
                  </w:sdt>
                </w:p>
              </w:tc>
            </w:tr>
            <w:tr w:rsidR="00587D75" w:rsidRPr="00210963" w14:paraId="73AC02FE" w14:textId="77777777" w:rsidTr="003E4C4A">
              <w:trPr>
                <w:tblCellSpacing w:w="20" w:type="dxa"/>
              </w:trPr>
              <w:tc>
                <w:tcPr>
                  <w:tcW w:w="8938" w:type="dxa"/>
                  <w:gridSpan w:val="5"/>
                </w:tcPr>
                <w:p w14:paraId="0567A184" w14:textId="501EB514" w:rsidR="00587D75" w:rsidRPr="00F5477D" w:rsidRDefault="00587D75" w:rsidP="00587D75">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504B83">
                    <w:rPr>
                      <w:rFonts w:ascii="Calibri" w:hAnsi="Calibri" w:cs="Times New Roman"/>
                      <w:i/>
                      <w:sz w:val="16"/>
                      <w:szCs w:val="24"/>
                      <w:lang w:eastAsia="x-none"/>
                    </w:rPr>
                    <w:t>15Feb2024</w:t>
                  </w:r>
                </w:p>
              </w:tc>
            </w:tr>
          </w:tbl>
          <w:p w14:paraId="690E99F4" w14:textId="20237726" w:rsidR="000F0D0C" w:rsidRPr="002857C8" w:rsidRDefault="003D0A6F" w:rsidP="002857C8">
            <w:pPr>
              <w:pStyle w:val="Footer"/>
              <w:jc w:val="right"/>
              <w:rPr>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B962" w14:textId="77777777" w:rsidR="000F0D0C" w:rsidRDefault="000F0D0C" w:rsidP="00BD2135">
      <w:r>
        <w:separator/>
      </w:r>
    </w:p>
    <w:p w14:paraId="0A9E8F17" w14:textId="77777777" w:rsidR="000F0D0C" w:rsidRDefault="000F0D0C" w:rsidP="00BD2135"/>
  </w:footnote>
  <w:footnote w:type="continuationSeparator" w:id="0">
    <w:p w14:paraId="6C8B15B2" w14:textId="77777777" w:rsidR="000F0D0C" w:rsidRDefault="000F0D0C" w:rsidP="00BD2135">
      <w:r>
        <w:continuationSeparator/>
      </w:r>
    </w:p>
    <w:p w14:paraId="2ECC3BBC" w14:textId="77777777" w:rsidR="000F0D0C" w:rsidRDefault="000F0D0C" w:rsidP="00BD2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05" w:type="dxa"/>
      <w:tblInd w:w="-289" w:type="dxa"/>
      <w:tblLayout w:type="fixed"/>
      <w:tblLook w:val="04A0" w:firstRow="1" w:lastRow="0" w:firstColumn="1" w:lastColumn="0" w:noHBand="0" w:noVBand="1"/>
    </w:tblPr>
    <w:tblGrid>
      <w:gridCol w:w="1418"/>
      <w:gridCol w:w="2552"/>
      <w:gridCol w:w="1134"/>
      <w:gridCol w:w="2155"/>
      <w:gridCol w:w="2046"/>
    </w:tblGrid>
    <w:tr w:rsidR="00587D75" w14:paraId="0840D245" w14:textId="77777777" w:rsidTr="003E4C4A">
      <w:trPr>
        <w:trHeight w:val="227"/>
      </w:trPr>
      <w:tc>
        <w:tcPr>
          <w:tcW w:w="7259" w:type="dxa"/>
          <w:gridSpan w:val="4"/>
        </w:tcPr>
        <w:p w14:paraId="745C1977" w14:textId="77777777" w:rsidR="00587D75" w:rsidRPr="00982517" w:rsidRDefault="00587D75" w:rsidP="00587D75">
          <w:pPr>
            <w:pStyle w:val="Header"/>
            <w:tabs>
              <w:tab w:val="left" w:pos="6521"/>
            </w:tabs>
            <w:rPr>
              <w:noProof/>
            </w:rPr>
          </w:pPr>
          <w:r>
            <w:rPr>
              <w:b/>
              <w:bCs/>
              <w:sz w:val="36"/>
              <w:szCs w:val="36"/>
            </w:rPr>
            <w:t>Office for Research</w:t>
          </w:r>
        </w:p>
      </w:tc>
      <w:tc>
        <w:tcPr>
          <w:tcW w:w="2046" w:type="dxa"/>
          <w:vMerge w:val="restart"/>
          <w:vAlign w:val="center"/>
        </w:tcPr>
        <w:p w14:paraId="0C49DA1A" w14:textId="77777777" w:rsidR="00587D75" w:rsidRPr="00982517" w:rsidRDefault="00587D75" w:rsidP="00587D75">
          <w:pPr>
            <w:pStyle w:val="Header"/>
            <w:tabs>
              <w:tab w:val="left" w:pos="6521"/>
            </w:tabs>
            <w:spacing w:after="0"/>
            <w:jc w:val="center"/>
            <w:rPr>
              <w:noProof/>
            </w:rPr>
          </w:pPr>
          <w:r w:rsidRPr="00982517">
            <w:rPr>
              <w:noProof/>
            </w:rPr>
            <w:drawing>
              <wp:anchor distT="0" distB="0" distL="114300" distR="114300" simplePos="0" relativeHeight="251712512" behindDoc="1" locked="0" layoutInCell="1" allowOverlap="1" wp14:anchorId="69472B5B" wp14:editId="6A5728EF">
                <wp:simplePos x="0" y="0"/>
                <wp:positionH relativeFrom="column">
                  <wp:posOffset>41910</wp:posOffset>
                </wp:positionH>
                <wp:positionV relativeFrom="paragraph">
                  <wp:posOffset>-878205</wp:posOffset>
                </wp:positionV>
                <wp:extent cx="1057275" cy="990600"/>
                <wp:effectExtent l="0" t="0" r="9525" b="0"/>
                <wp:wrapTight wrapText="bothSides">
                  <wp:wrapPolygon edited="0">
                    <wp:start x="0" y="0"/>
                    <wp:lineTo x="0" y="21185"/>
                    <wp:lineTo x="21405" y="21185"/>
                    <wp:lineTo x="21405" y="0"/>
                    <wp:lineTo x="0" y="0"/>
                  </wp:wrapPolygon>
                </wp:wrapTight>
                <wp:docPr id="1236953646" name="Picture 1236953646" descr="A blue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9899" name="Picture 65329899" descr="A blue logo with a circl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margin">
                  <wp14:pctWidth>0</wp14:pctWidth>
                </wp14:sizeRelH>
                <wp14:sizeRelV relativeFrom="margin">
                  <wp14:pctHeight>0</wp14:pctHeight>
                </wp14:sizeRelV>
              </wp:anchor>
            </w:drawing>
          </w:r>
        </w:p>
      </w:tc>
    </w:tr>
    <w:tr w:rsidR="00587D75" w14:paraId="31B44615" w14:textId="77777777" w:rsidTr="003E4C4A">
      <w:tc>
        <w:tcPr>
          <w:tcW w:w="7259" w:type="dxa"/>
          <w:gridSpan w:val="4"/>
          <w:vAlign w:val="center"/>
        </w:tcPr>
        <w:p w14:paraId="39CF44BC" w14:textId="77777777" w:rsidR="00587D75" w:rsidRDefault="00587D75" w:rsidP="00587D75">
          <w:pPr>
            <w:pStyle w:val="Header"/>
            <w:tabs>
              <w:tab w:val="left" w:pos="6521"/>
            </w:tabs>
            <w:spacing w:after="0"/>
          </w:pPr>
          <w:r>
            <w:rPr>
              <w:rFonts w:ascii="Calibri" w:eastAsia="Calibri" w:hAnsi="Calibri" w:cs="Times New Roman"/>
              <w:b/>
              <w:caps/>
              <w:color w:val="0069AA"/>
              <w:lang w:eastAsia="en-US"/>
            </w:rPr>
            <w:t>SOP-QA-05</w:t>
          </w:r>
        </w:p>
      </w:tc>
      <w:tc>
        <w:tcPr>
          <w:tcW w:w="2046" w:type="dxa"/>
          <w:vMerge/>
        </w:tcPr>
        <w:p w14:paraId="5F8CA574" w14:textId="77777777" w:rsidR="00587D75" w:rsidRDefault="00587D75" w:rsidP="00587D75">
          <w:pPr>
            <w:pStyle w:val="Header"/>
            <w:tabs>
              <w:tab w:val="left" w:pos="6521"/>
            </w:tabs>
          </w:pPr>
        </w:p>
      </w:tc>
    </w:tr>
    <w:tr w:rsidR="00587D75" w14:paraId="3994286E" w14:textId="77777777" w:rsidTr="003E4C4A">
      <w:trPr>
        <w:trHeight w:val="764"/>
      </w:trPr>
      <w:tc>
        <w:tcPr>
          <w:tcW w:w="7259" w:type="dxa"/>
          <w:gridSpan w:val="4"/>
          <w:vAlign w:val="center"/>
        </w:tcPr>
        <w:p w14:paraId="6BF15F87" w14:textId="77777777" w:rsidR="00587D75" w:rsidRDefault="00587D75" w:rsidP="00587D75">
          <w:pPr>
            <w:pStyle w:val="Header"/>
            <w:tabs>
              <w:tab w:val="left" w:pos="6521"/>
            </w:tabs>
            <w:spacing w:after="0"/>
            <w:contextualSpacing/>
          </w:pPr>
          <w:r>
            <w:rPr>
              <w:rFonts w:ascii="Calibri" w:eastAsia="Calibri" w:hAnsi="Calibri" w:cs="Times New Roman"/>
              <w:b/>
              <w:caps/>
              <w:color w:val="0069AA"/>
              <w:sz w:val="28"/>
              <w:szCs w:val="28"/>
              <w:lang w:eastAsia="en-US"/>
            </w:rPr>
            <w:t>QUALITY ASSURANCE AUDITS</w:t>
          </w:r>
        </w:p>
      </w:tc>
      <w:tc>
        <w:tcPr>
          <w:tcW w:w="2046" w:type="dxa"/>
          <w:vMerge/>
        </w:tcPr>
        <w:p w14:paraId="25EABE52" w14:textId="77777777" w:rsidR="00587D75" w:rsidRDefault="00587D75" w:rsidP="00587D75">
          <w:pPr>
            <w:pStyle w:val="Header"/>
            <w:tabs>
              <w:tab w:val="left" w:pos="6521"/>
            </w:tabs>
          </w:pPr>
        </w:p>
      </w:tc>
    </w:tr>
    <w:tr w:rsidR="00587D75" w14:paraId="20228C8E" w14:textId="77777777" w:rsidTr="003E4C4A">
      <w:tc>
        <w:tcPr>
          <w:tcW w:w="1418" w:type="dxa"/>
        </w:tcPr>
        <w:p w14:paraId="03DFD93C" w14:textId="77777777" w:rsidR="00587D75" w:rsidRPr="00740DBE" w:rsidRDefault="00587D75" w:rsidP="00587D75">
          <w:pPr>
            <w:pStyle w:val="Header"/>
            <w:tabs>
              <w:tab w:val="left" w:pos="6521"/>
            </w:tabs>
          </w:pPr>
          <w:r w:rsidRPr="00740DBE">
            <w:t>Prepared by:</w:t>
          </w:r>
        </w:p>
      </w:tc>
      <w:tc>
        <w:tcPr>
          <w:tcW w:w="2552" w:type="dxa"/>
        </w:tcPr>
        <w:p w14:paraId="3D9D7B09" w14:textId="77777777" w:rsidR="00587D75" w:rsidRPr="00740DBE" w:rsidRDefault="00587D75" w:rsidP="00587D75">
          <w:pPr>
            <w:pStyle w:val="Header"/>
            <w:tabs>
              <w:tab w:val="left" w:pos="6521"/>
            </w:tabs>
          </w:pPr>
          <w:r>
            <w:t>Dr Sarah Rickard</w:t>
          </w:r>
        </w:p>
      </w:tc>
      <w:tc>
        <w:tcPr>
          <w:tcW w:w="1134" w:type="dxa"/>
        </w:tcPr>
        <w:p w14:paraId="5D85D080" w14:textId="77777777" w:rsidR="00587D75" w:rsidRPr="00740DBE" w:rsidRDefault="00587D75" w:rsidP="00587D75">
          <w:pPr>
            <w:pStyle w:val="Header"/>
            <w:tabs>
              <w:tab w:val="left" w:pos="6521"/>
            </w:tabs>
          </w:pPr>
          <w:r w:rsidRPr="00740DBE">
            <w:t>Position:</w:t>
          </w:r>
        </w:p>
      </w:tc>
      <w:tc>
        <w:tcPr>
          <w:tcW w:w="4201" w:type="dxa"/>
          <w:gridSpan w:val="2"/>
        </w:tcPr>
        <w:p w14:paraId="719C9C3C" w14:textId="77777777" w:rsidR="00587D75" w:rsidRDefault="00587D75" w:rsidP="00587D75">
          <w:pPr>
            <w:pStyle w:val="Header"/>
            <w:tabs>
              <w:tab w:val="left" w:pos="6521"/>
            </w:tabs>
          </w:pPr>
          <w:r>
            <w:t>Group Manager of Research Operations</w:t>
          </w:r>
        </w:p>
      </w:tc>
    </w:tr>
    <w:tr w:rsidR="00587D75" w14:paraId="06904F84" w14:textId="77777777" w:rsidTr="003E4C4A">
      <w:tc>
        <w:tcPr>
          <w:tcW w:w="1418" w:type="dxa"/>
        </w:tcPr>
        <w:p w14:paraId="6876E6A5" w14:textId="77777777" w:rsidR="00587D75" w:rsidRPr="00740DBE" w:rsidRDefault="00587D75" w:rsidP="00587D75">
          <w:pPr>
            <w:pStyle w:val="Header"/>
            <w:tabs>
              <w:tab w:val="left" w:pos="6521"/>
            </w:tabs>
          </w:pPr>
          <w:r w:rsidRPr="00740DBE">
            <w:t>Approved by:</w:t>
          </w:r>
        </w:p>
      </w:tc>
      <w:tc>
        <w:tcPr>
          <w:tcW w:w="2552" w:type="dxa"/>
        </w:tcPr>
        <w:p w14:paraId="347B3796" w14:textId="77777777" w:rsidR="00587D75" w:rsidRPr="00740DBE" w:rsidRDefault="00587D75" w:rsidP="00587D75">
          <w:pPr>
            <w:pStyle w:val="Header"/>
            <w:tabs>
              <w:tab w:val="left" w:pos="6521"/>
            </w:tabs>
          </w:pPr>
          <w:r>
            <w:t>Prof Ingrid Winship</w:t>
          </w:r>
        </w:p>
      </w:tc>
      <w:tc>
        <w:tcPr>
          <w:tcW w:w="1134" w:type="dxa"/>
        </w:tcPr>
        <w:p w14:paraId="761041B1" w14:textId="77777777" w:rsidR="00587D75" w:rsidRPr="00740DBE" w:rsidRDefault="00587D75" w:rsidP="00587D75">
          <w:pPr>
            <w:pStyle w:val="Header"/>
            <w:tabs>
              <w:tab w:val="left" w:pos="6521"/>
            </w:tabs>
          </w:pPr>
          <w:r w:rsidRPr="00740DBE">
            <w:t>Position:</w:t>
          </w:r>
        </w:p>
      </w:tc>
      <w:tc>
        <w:tcPr>
          <w:tcW w:w="4201" w:type="dxa"/>
          <w:gridSpan w:val="2"/>
        </w:tcPr>
        <w:p w14:paraId="68B51916" w14:textId="77777777" w:rsidR="00587D75" w:rsidRDefault="00587D75" w:rsidP="00587D75">
          <w:pPr>
            <w:pStyle w:val="Header"/>
            <w:tabs>
              <w:tab w:val="left" w:pos="6521"/>
            </w:tabs>
          </w:pPr>
          <w:r>
            <w:t>Group Director of Research and Development and Chief Research Officer</w:t>
          </w:r>
        </w:p>
      </w:tc>
    </w:tr>
  </w:tbl>
  <w:p w14:paraId="60688A79" w14:textId="77777777" w:rsidR="000F0D0C" w:rsidRDefault="000F0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2F"/>
    <w:multiLevelType w:val="hybridMultilevel"/>
    <w:tmpl w:val="B17E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37984"/>
    <w:multiLevelType w:val="hybridMultilevel"/>
    <w:tmpl w:val="4FAA928A"/>
    <w:lvl w:ilvl="0" w:tplc="5F743D1C">
      <w:start w:val="1"/>
      <w:numFmt w:val="decimal"/>
      <w:pStyle w:val="Heading2"/>
      <w:lvlText w:val="%1."/>
      <w:lvlJc w:val="left"/>
      <w:pPr>
        <w:ind w:left="1004" w:hanging="360"/>
      </w:pPr>
      <w:rPr>
        <w:color w:val="0069AA"/>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3685803"/>
    <w:multiLevelType w:val="hybridMultilevel"/>
    <w:tmpl w:val="41DCF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6D2DFC"/>
    <w:multiLevelType w:val="hybridMultilevel"/>
    <w:tmpl w:val="7F8C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62D80"/>
    <w:multiLevelType w:val="hybridMultilevel"/>
    <w:tmpl w:val="616CD960"/>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0F765BD5"/>
    <w:multiLevelType w:val="hybridMultilevel"/>
    <w:tmpl w:val="721E7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C6A15"/>
    <w:multiLevelType w:val="hybridMultilevel"/>
    <w:tmpl w:val="5CF0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2378C"/>
    <w:multiLevelType w:val="hybridMultilevel"/>
    <w:tmpl w:val="7834F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12499"/>
    <w:multiLevelType w:val="multilevel"/>
    <w:tmpl w:val="8116B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F5535"/>
    <w:multiLevelType w:val="hybridMultilevel"/>
    <w:tmpl w:val="0F0E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720EB"/>
    <w:multiLevelType w:val="hybridMultilevel"/>
    <w:tmpl w:val="39A4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149CB"/>
    <w:multiLevelType w:val="hybridMultilevel"/>
    <w:tmpl w:val="E992150C"/>
    <w:lvl w:ilvl="0" w:tplc="A5705420">
      <w:start w:val="6"/>
      <w:numFmt w:val="bullet"/>
      <w:lvlText w:val=""/>
      <w:lvlJc w:val="left"/>
      <w:pPr>
        <w:ind w:left="1080" w:hanging="360"/>
      </w:pPr>
      <w:rPr>
        <w:rFonts w:ascii="Symbol" w:eastAsiaTheme="minorEastAsia"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4A2AA2"/>
    <w:multiLevelType w:val="hybridMultilevel"/>
    <w:tmpl w:val="96EC7F82"/>
    <w:lvl w:ilvl="0" w:tplc="0D9C8D4C">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3C96041C"/>
    <w:multiLevelType w:val="hybridMultilevel"/>
    <w:tmpl w:val="935A686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49D522A3"/>
    <w:multiLevelType w:val="hybridMultilevel"/>
    <w:tmpl w:val="DA42BE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7F3BBC"/>
    <w:multiLevelType w:val="hybridMultilevel"/>
    <w:tmpl w:val="A3EAF6B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6" w15:restartNumberingAfterBreak="0">
    <w:nsid w:val="4AC10A17"/>
    <w:multiLevelType w:val="hybridMultilevel"/>
    <w:tmpl w:val="1F3E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C90033"/>
    <w:multiLevelType w:val="hybridMultilevel"/>
    <w:tmpl w:val="BBD699E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3DE302D"/>
    <w:multiLevelType w:val="hybridMultilevel"/>
    <w:tmpl w:val="C108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26D9E"/>
    <w:multiLevelType w:val="hybridMultilevel"/>
    <w:tmpl w:val="41B8895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924EE2"/>
    <w:multiLevelType w:val="hybridMultilevel"/>
    <w:tmpl w:val="073C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B6419E"/>
    <w:multiLevelType w:val="hybridMultilevel"/>
    <w:tmpl w:val="209693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F2D035B"/>
    <w:multiLevelType w:val="hybridMultilevel"/>
    <w:tmpl w:val="FD08B9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2DC652A"/>
    <w:multiLevelType w:val="hybridMultilevel"/>
    <w:tmpl w:val="9DE0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07799"/>
    <w:multiLevelType w:val="hybridMultilevel"/>
    <w:tmpl w:val="C66A861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5" w15:restartNumberingAfterBreak="0">
    <w:nsid w:val="69C878E6"/>
    <w:multiLevelType w:val="hybridMultilevel"/>
    <w:tmpl w:val="100868B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395ECE"/>
    <w:multiLevelType w:val="hybridMultilevel"/>
    <w:tmpl w:val="84901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E8357C6"/>
    <w:multiLevelType w:val="hybridMultilevel"/>
    <w:tmpl w:val="1B82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7D6E0C"/>
    <w:multiLevelType w:val="hybridMultilevel"/>
    <w:tmpl w:val="5B4E49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1"/>
  </w:num>
  <w:num w:numId="4">
    <w:abstractNumId w:val="24"/>
  </w:num>
  <w:num w:numId="5">
    <w:abstractNumId w:val="6"/>
  </w:num>
  <w:num w:numId="6">
    <w:abstractNumId w:val="3"/>
  </w:num>
  <w:num w:numId="7">
    <w:abstractNumId w:val="1"/>
  </w:num>
  <w:num w:numId="8">
    <w:abstractNumId w:val="1"/>
    <w:lvlOverride w:ilvl="0">
      <w:startOverride w:val="1"/>
    </w:lvlOverride>
  </w:num>
  <w:num w:numId="9">
    <w:abstractNumId w:val="26"/>
  </w:num>
  <w:num w:numId="10">
    <w:abstractNumId w:val="20"/>
  </w:num>
  <w:num w:numId="11">
    <w:abstractNumId w:val="18"/>
  </w:num>
  <w:num w:numId="12">
    <w:abstractNumId w:val="10"/>
  </w:num>
  <w:num w:numId="13">
    <w:abstractNumId w:val="23"/>
  </w:num>
  <w:num w:numId="14">
    <w:abstractNumId w:val="9"/>
  </w:num>
  <w:num w:numId="15">
    <w:abstractNumId w:val="8"/>
  </w:num>
  <w:num w:numId="16">
    <w:abstractNumId w:val="0"/>
  </w:num>
  <w:num w:numId="17">
    <w:abstractNumId w:val="28"/>
  </w:num>
  <w:num w:numId="18">
    <w:abstractNumId w:val="27"/>
  </w:num>
  <w:num w:numId="19">
    <w:abstractNumId w:val="13"/>
  </w:num>
  <w:num w:numId="20">
    <w:abstractNumId w:val="17"/>
  </w:num>
  <w:num w:numId="21">
    <w:abstractNumId w:val="7"/>
  </w:num>
  <w:num w:numId="22">
    <w:abstractNumId w:val="2"/>
  </w:num>
  <w:num w:numId="23">
    <w:abstractNumId w:val="25"/>
  </w:num>
  <w:num w:numId="24">
    <w:abstractNumId w:val="22"/>
  </w:num>
  <w:num w:numId="25">
    <w:abstractNumId w:val="19"/>
  </w:num>
  <w:num w:numId="26">
    <w:abstractNumId w:val="14"/>
  </w:num>
  <w:num w:numId="27">
    <w:abstractNumId w:val="4"/>
  </w:num>
  <w:num w:numId="28">
    <w:abstractNumId w:val="16"/>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A"/>
    <w:rsid w:val="000012AD"/>
    <w:rsid w:val="00001CE6"/>
    <w:rsid w:val="00012927"/>
    <w:rsid w:val="00047BAE"/>
    <w:rsid w:val="00052CF7"/>
    <w:rsid w:val="0006669A"/>
    <w:rsid w:val="00077393"/>
    <w:rsid w:val="00082F43"/>
    <w:rsid w:val="00091973"/>
    <w:rsid w:val="0009737D"/>
    <w:rsid w:val="000A495D"/>
    <w:rsid w:val="000A5178"/>
    <w:rsid w:val="000D5B03"/>
    <w:rsid w:val="000E5477"/>
    <w:rsid w:val="000F0D0C"/>
    <w:rsid w:val="00126CA5"/>
    <w:rsid w:val="001320D4"/>
    <w:rsid w:val="00162E7B"/>
    <w:rsid w:val="00165A10"/>
    <w:rsid w:val="00171F00"/>
    <w:rsid w:val="001772AB"/>
    <w:rsid w:val="001916D9"/>
    <w:rsid w:val="001B3CE8"/>
    <w:rsid w:val="001C23D9"/>
    <w:rsid w:val="001E34E0"/>
    <w:rsid w:val="001F4257"/>
    <w:rsid w:val="00210963"/>
    <w:rsid w:val="00223110"/>
    <w:rsid w:val="002356B7"/>
    <w:rsid w:val="00242B46"/>
    <w:rsid w:val="0026293F"/>
    <w:rsid w:val="002857C8"/>
    <w:rsid w:val="002F0313"/>
    <w:rsid w:val="003150C2"/>
    <w:rsid w:val="003D08E3"/>
    <w:rsid w:val="003D0A6F"/>
    <w:rsid w:val="003D2712"/>
    <w:rsid w:val="003E2B46"/>
    <w:rsid w:val="00420080"/>
    <w:rsid w:val="00420386"/>
    <w:rsid w:val="004517CB"/>
    <w:rsid w:val="00453FE2"/>
    <w:rsid w:val="00471DA0"/>
    <w:rsid w:val="004A3E2C"/>
    <w:rsid w:val="004B32CE"/>
    <w:rsid w:val="004B618C"/>
    <w:rsid w:val="004C1C3D"/>
    <w:rsid w:val="004D23CA"/>
    <w:rsid w:val="004D3AD9"/>
    <w:rsid w:val="004D55DB"/>
    <w:rsid w:val="004D5FD9"/>
    <w:rsid w:val="004E169B"/>
    <w:rsid w:val="004F16E3"/>
    <w:rsid w:val="004F2DB7"/>
    <w:rsid w:val="0050225B"/>
    <w:rsid w:val="00504B83"/>
    <w:rsid w:val="005071A9"/>
    <w:rsid w:val="00511ADC"/>
    <w:rsid w:val="00524CD9"/>
    <w:rsid w:val="0054596A"/>
    <w:rsid w:val="00561AA8"/>
    <w:rsid w:val="00564352"/>
    <w:rsid w:val="00587D75"/>
    <w:rsid w:val="005A22B1"/>
    <w:rsid w:val="005C4A2C"/>
    <w:rsid w:val="0060411A"/>
    <w:rsid w:val="006053BE"/>
    <w:rsid w:val="00614FFF"/>
    <w:rsid w:val="006448DF"/>
    <w:rsid w:val="006457AE"/>
    <w:rsid w:val="00654443"/>
    <w:rsid w:val="006554F0"/>
    <w:rsid w:val="0066626A"/>
    <w:rsid w:val="0067425A"/>
    <w:rsid w:val="0068192B"/>
    <w:rsid w:val="00682C7A"/>
    <w:rsid w:val="00685890"/>
    <w:rsid w:val="006A25C1"/>
    <w:rsid w:val="006A3678"/>
    <w:rsid w:val="006A5F0B"/>
    <w:rsid w:val="006C5BE5"/>
    <w:rsid w:val="006D47B9"/>
    <w:rsid w:val="006F55C0"/>
    <w:rsid w:val="006F6B6E"/>
    <w:rsid w:val="00712259"/>
    <w:rsid w:val="00717060"/>
    <w:rsid w:val="00717133"/>
    <w:rsid w:val="00742F83"/>
    <w:rsid w:val="00773F5E"/>
    <w:rsid w:val="00774BD5"/>
    <w:rsid w:val="00791436"/>
    <w:rsid w:val="007D01FD"/>
    <w:rsid w:val="00811DFB"/>
    <w:rsid w:val="008143DA"/>
    <w:rsid w:val="008249DB"/>
    <w:rsid w:val="008B432E"/>
    <w:rsid w:val="008E4C5E"/>
    <w:rsid w:val="008E58EF"/>
    <w:rsid w:val="008E6A44"/>
    <w:rsid w:val="008F05A9"/>
    <w:rsid w:val="008F229F"/>
    <w:rsid w:val="0095029E"/>
    <w:rsid w:val="0095165B"/>
    <w:rsid w:val="00982517"/>
    <w:rsid w:val="00986796"/>
    <w:rsid w:val="00990A2C"/>
    <w:rsid w:val="00994391"/>
    <w:rsid w:val="009B29B4"/>
    <w:rsid w:val="009E3AC0"/>
    <w:rsid w:val="009F2104"/>
    <w:rsid w:val="00A04796"/>
    <w:rsid w:val="00A052B3"/>
    <w:rsid w:val="00A34A23"/>
    <w:rsid w:val="00A43E29"/>
    <w:rsid w:val="00A7299B"/>
    <w:rsid w:val="00AB4B87"/>
    <w:rsid w:val="00AC0966"/>
    <w:rsid w:val="00B1104D"/>
    <w:rsid w:val="00B354F1"/>
    <w:rsid w:val="00B44D22"/>
    <w:rsid w:val="00B52A98"/>
    <w:rsid w:val="00B70476"/>
    <w:rsid w:val="00B82E62"/>
    <w:rsid w:val="00B83151"/>
    <w:rsid w:val="00B902E7"/>
    <w:rsid w:val="00B9662D"/>
    <w:rsid w:val="00BC3817"/>
    <w:rsid w:val="00BD1C6C"/>
    <w:rsid w:val="00BD2135"/>
    <w:rsid w:val="00BE4053"/>
    <w:rsid w:val="00C07267"/>
    <w:rsid w:val="00C30DAD"/>
    <w:rsid w:val="00C378E7"/>
    <w:rsid w:val="00C43876"/>
    <w:rsid w:val="00C47068"/>
    <w:rsid w:val="00C51EAA"/>
    <w:rsid w:val="00C741C5"/>
    <w:rsid w:val="00C77648"/>
    <w:rsid w:val="00C85027"/>
    <w:rsid w:val="00C87F67"/>
    <w:rsid w:val="00CA2EC3"/>
    <w:rsid w:val="00CA382D"/>
    <w:rsid w:val="00CC054D"/>
    <w:rsid w:val="00CC673F"/>
    <w:rsid w:val="00CE465C"/>
    <w:rsid w:val="00CF715B"/>
    <w:rsid w:val="00D002BB"/>
    <w:rsid w:val="00D01143"/>
    <w:rsid w:val="00D366E8"/>
    <w:rsid w:val="00D44729"/>
    <w:rsid w:val="00D63905"/>
    <w:rsid w:val="00D7106E"/>
    <w:rsid w:val="00D71534"/>
    <w:rsid w:val="00D761F8"/>
    <w:rsid w:val="00DD32CE"/>
    <w:rsid w:val="00DE2FE7"/>
    <w:rsid w:val="00E228DD"/>
    <w:rsid w:val="00E34BEF"/>
    <w:rsid w:val="00E37402"/>
    <w:rsid w:val="00E52B0C"/>
    <w:rsid w:val="00E612E7"/>
    <w:rsid w:val="00E65F58"/>
    <w:rsid w:val="00E746F2"/>
    <w:rsid w:val="00E75682"/>
    <w:rsid w:val="00E762F5"/>
    <w:rsid w:val="00E865B9"/>
    <w:rsid w:val="00E93DA9"/>
    <w:rsid w:val="00E97E9C"/>
    <w:rsid w:val="00EB0042"/>
    <w:rsid w:val="00EC2267"/>
    <w:rsid w:val="00ED0AFF"/>
    <w:rsid w:val="00EE241C"/>
    <w:rsid w:val="00EE7B87"/>
    <w:rsid w:val="00F07B1C"/>
    <w:rsid w:val="00F160AC"/>
    <w:rsid w:val="00F5477D"/>
    <w:rsid w:val="00F6736D"/>
    <w:rsid w:val="00F706B6"/>
    <w:rsid w:val="00FA2413"/>
    <w:rsid w:val="00FA46F5"/>
    <w:rsid w:val="00FB0DEC"/>
    <w:rsid w:val="00FF6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05E8EE"/>
  <w15:docId w15:val="{9659BDE7-C021-476A-AF38-EA85E05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35"/>
    <w:pPr>
      <w:autoSpaceDE w:val="0"/>
      <w:autoSpaceDN w:val="0"/>
      <w:adjustRightInd w:val="0"/>
      <w:spacing w:after="200" w:line="240" w:lineRule="auto"/>
    </w:pPr>
    <w:rPr>
      <w:rFonts w:cstheme="minorHAnsi"/>
      <w:lang w:eastAsia="en-AU"/>
    </w:rPr>
  </w:style>
  <w:style w:type="paragraph" w:styleId="Heading1">
    <w:name w:val="heading 1"/>
    <w:basedOn w:val="Normal"/>
    <w:next w:val="Normal"/>
    <w:link w:val="Heading1Char"/>
    <w:uiPriority w:val="9"/>
    <w:qFormat/>
    <w:rsid w:val="00682C7A"/>
    <w:pPr>
      <w:keepNext/>
      <w:keepLines/>
      <w:spacing w:before="240"/>
      <w:ind w:left="284"/>
      <w:jc w:val="center"/>
      <w:outlineLvl w:val="0"/>
    </w:pPr>
    <w:rPr>
      <w:rFonts w:ascii="Arial" w:eastAsiaTheme="majorEastAsia" w:hAnsi="Arial" w:cstheme="majorBidi"/>
      <w:b/>
      <w:color w:val="2E74B5" w:themeColor="accent1" w:themeShade="BF"/>
      <w:sz w:val="36"/>
      <w:szCs w:val="36"/>
    </w:rPr>
  </w:style>
  <w:style w:type="paragraph" w:styleId="Heading2">
    <w:name w:val="heading 2"/>
    <w:basedOn w:val="Heading1"/>
    <w:next w:val="Normal"/>
    <w:link w:val="Heading2Char"/>
    <w:uiPriority w:val="9"/>
    <w:unhideWhenUsed/>
    <w:qFormat/>
    <w:rsid w:val="0006669A"/>
    <w:pPr>
      <w:numPr>
        <w:numId w:val="7"/>
      </w:numPr>
      <w:ind w:left="0" w:hanging="284"/>
      <w:jc w:val="left"/>
      <w:outlineLvl w:val="1"/>
    </w:pPr>
    <w:rPr>
      <w:rFonts w:eastAsia="Times New Roman"/>
      <w:color w:val="0069AA"/>
      <w:sz w:val="22"/>
      <w:szCs w:val="22"/>
      <w:u w:val="single"/>
    </w:rPr>
  </w:style>
  <w:style w:type="paragraph" w:styleId="Heading3">
    <w:name w:val="heading 3"/>
    <w:basedOn w:val="Heading2"/>
    <w:next w:val="Normal"/>
    <w:link w:val="Heading3Char"/>
    <w:uiPriority w:val="9"/>
    <w:unhideWhenUsed/>
    <w:qFormat/>
    <w:rsid w:val="0006669A"/>
    <w:pPr>
      <w:numPr>
        <w:numId w:val="0"/>
      </w:numPr>
      <w:outlineLvl w:val="2"/>
    </w:pPr>
    <w:rPr>
      <w:rFonts w:asciiTheme="minorHAnsi" w:hAnsiTheme="minorHAnsi"/>
    </w:rPr>
  </w:style>
  <w:style w:type="paragraph" w:styleId="Heading4">
    <w:name w:val="heading 4"/>
    <w:basedOn w:val="Normal"/>
    <w:next w:val="Normal"/>
    <w:link w:val="Heading4Char"/>
    <w:uiPriority w:val="9"/>
    <w:unhideWhenUsed/>
    <w:qFormat/>
    <w:rsid w:val="0006669A"/>
    <w:pPr>
      <w:keepNext/>
      <w:keepLines/>
      <w:spacing w:before="40"/>
      <w:outlineLvl w:val="3"/>
    </w:pPr>
    <w:rPr>
      <w:rFonts w:asciiTheme="majorHAnsi" w:eastAsiaTheme="majorEastAsia" w:hAnsiTheme="majorHAnsi" w:cstheme="majorBidi"/>
      <w:i/>
      <w:iCs/>
      <w:color w:val="0069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CA"/>
    <w:pPr>
      <w:tabs>
        <w:tab w:val="center" w:pos="4513"/>
        <w:tab w:val="right" w:pos="9026"/>
      </w:tabs>
    </w:pPr>
  </w:style>
  <w:style w:type="character" w:customStyle="1" w:styleId="HeaderChar">
    <w:name w:val="Header Char"/>
    <w:basedOn w:val="DefaultParagraphFont"/>
    <w:link w:val="Header"/>
    <w:uiPriority w:val="99"/>
    <w:rsid w:val="004D23CA"/>
  </w:style>
  <w:style w:type="paragraph" w:styleId="Footer">
    <w:name w:val="footer"/>
    <w:basedOn w:val="Normal"/>
    <w:link w:val="FooterChar"/>
    <w:uiPriority w:val="99"/>
    <w:unhideWhenUsed/>
    <w:rsid w:val="004D23CA"/>
    <w:pPr>
      <w:tabs>
        <w:tab w:val="center" w:pos="4513"/>
        <w:tab w:val="right" w:pos="9026"/>
      </w:tabs>
    </w:pPr>
  </w:style>
  <w:style w:type="character" w:customStyle="1" w:styleId="FooterChar">
    <w:name w:val="Footer Char"/>
    <w:basedOn w:val="DefaultParagraphFont"/>
    <w:link w:val="Footer"/>
    <w:uiPriority w:val="99"/>
    <w:rsid w:val="004D23CA"/>
  </w:style>
  <w:style w:type="table" w:styleId="TableGrid">
    <w:name w:val="Table Grid"/>
    <w:basedOn w:val="TableNormal"/>
    <w:uiPriority w:val="39"/>
    <w:rsid w:val="0009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0313"/>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F0313"/>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82C7A"/>
    <w:rPr>
      <w:rFonts w:ascii="Arial" w:eastAsiaTheme="majorEastAsia" w:hAnsi="Arial" w:cstheme="majorBidi"/>
      <w:b/>
      <w:color w:val="2E74B5" w:themeColor="accent1" w:themeShade="BF"/>
      <w:sz w:val="36"/>
      <w:szCs w:val="36"/>
    </w:rPr>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D7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6E"/>
    <w:rPr>
      <w:rFonts w:ascii="Segoe UI" w:hAnsi="Segoe UI" w:cs="Segoe UI"/>
      <w:sz w:val="18"/>
      <w:szCs w:val="18"/>
    </w:rPr>
  </w:style>
  <w:style w:type="character" w:styleId="CommentReference">
    <w:name w:val="annotation reference"/>
    <w:basedOn w:val="DefaultParagraphFont"/>
    <w:uiPriority w:val="99"/>
    <w:semiHidden/>
    <w:unhideWhenUsed/>
    <w:rsid w:val="00420386"/>
    <w:rPr>
      <w:sz w:val="16"/>
      <w:szCs w:val="16"/>
    </w:rPr>
  </w:style>
  <w:style w:type="paragraph" w:styleId="CommentText">
    <w:name w:val="annotation text"/>
    <w:basedOn w:val="Normal"/>
    <w:link w:val="CommentTextChar"/>
    <w:uiPriority w:val="99"/>
    <w:unhideWhenUsed/>
    <w:rsid w:val="00420386"/>
    <w:rPr>
      <w:sz w:val="20"/>
      <w:szCs w:val="20"/>
    </w:rPr>
  </w:style>
  <w:style w:type="character" w:customStyle="1" w:styleId="CommentTextChar">
    <w:name w:val="Comment Text Char"/>
    <w:basedOn w:val="DefaultParagraphFont"/>
    <w:link w:val="CommentText"/>
    <w:uiPriority w:val="99"/>
    <w:rsid w:val="00420386"/>
    <w:rPr>
      <w:sz w:val="20"/>
      <w:szCs w:val="20"/>
    </w:rPr>
  </w:style>
  <w:style w:type="character" w:customStyle="1" w:styleId="Heading2Char">
    <w:name w:val="Heading 2 Char"/>
    <w:basedOn w:val="DefaultParagraphFont"/>
    <w:link w:val="Heading2"/>
    <w:uiPriority w:val="9"/>
    <w:rsid w:val="0006669A"/>
    <w:rPr>
      <w:rFonts w:ascii="Arial" w:eastAsia="Times New Roman" w:hAnsi="Arial" w:cstheme="majorBidi"/>
      <w:b/>
      <w:color w:val="0069AA"/>
      <w:u w:val="single"/>
      <w:lang w:eastAsia="en-AU"/>
    </w:rPr>
  </w:style>
  <w:style w:type="paragraph" w:styleId="NoSpacing">
    <w:name w:val="No Spacing"/>
    <w:uiPriority w:val="1"/>
    <w:qFormat/>
    <w:rsid w:val="008F229F"/>
    <w:pPr>
      <w:autoSpaceDE w:val="0"/>
      <w:autoSpaceDN w:val="0"/>
      <w:adjustRightInd w:val="0"/>
      <w:spacing w:after="0" w:line="240" w:lineRule="auto"/>
    </w:pPr>
    <w:rPr>
      <w:rFonts w:cstheme="minorHAnsi"/>
      <w:b/>
      <w:sz w:val="18"/>
      <w:szCs w:val="18"/>
    </w:rPr>
  </w:style>
  <w:style w:type="character" w:customStyle="1" w:styleId="Heading3Char">
    <w:name w:val="Heading 3 Char"/>
    <w:basedOn w:val="DefaultParagraphFont"/>
    <w:link w:val="Heading3"/>
    <w:uiPriority w:val="9"/>
    <w:rsid w:val="0006669A"/>
    <w:rPr>
      <w:rFonts w:eastAsia="Times New Roman" w:cstheme="majorBidi"/>
      <w:b/>
      <w:color w:val="0069AA"/>
      <w:u w:val="single"/>
      <w:lang w:eastAsia="en-AU"/>
    </w:rPr>
  </w:style>
  <w:style w:type="table" w:customStyle="1" w:styleId="TableGrid1">
    <w:name w:val="Table Grid1"/>
    <w:basedOn w:val="TableNormal"/>
    <w:next w:val="TableGrid"/>
    <w:rsid w:val="00210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7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autoRedefine/>
    <w:qFormat/>
    <w:rsid w:val="00FA46F5"/>
    <w:pPr>
      <w:autoSpaceDE/>
      <w:autoSpaceDN/>
      <w:adjustRightInd/>
      <w:spacing w:before="240" w:after="240"/>
      <w:ind w:left="-567"/>
      <w:jc w:val="center"/>
      <w:outlineLvl w:val="0"/>
    </w:pPr>
    <w:rPr>
      <w:rFonts w:ascii="Calibri" w:eastAsia="Times New Roman" w:hAnsi="Calibri" w:cs="Times New Roman"/>
      <w:b/>
      <w:bCs/>
      <w:caps/>
      <w:sz w:val="28"/>
      <w:szCs w:val="20"/>
      <w:u w:val="single"/>
      <w:lang w:val="x-none" w:eastAsia="x-none"/>
    </w:rPr>
  </w:style>
  <w:style w:type="character" w:customStyle="1" w:styleId="H1Char">
    <w:name w:val="H1 Char"/>
    <w:link w:val="H1"/>
    <w:rsid w:val="00FA46F5"/>
    <w:rPr>
      <w:rFonts w:ascii="Calibri" w:eastAsia="Times New Roman" w:hAnsi="Calibri" w:cs="Times New Roman"/>
      <w:b/>
      <w:bCs/>
      <w:caps/>
      <w:sz w:val="28"/>
      <w:szCs w:val="20"/>
      <w:u w:val="single"/>
      <w:lang w:val="x-none" w:eastAsia="x-none"/>
    </w:rPr>
  </w:style>
  <w:style w:type="table" w:customStyle="1" w:styleId="TableGrid3">
    <w:name w:val="Table Grid3"/>
    <w:basedOn w:val="TableNormal"/>
    <w:next w:val="TableGrid"/>
    <w:rsid w:val="00285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6B6E"/>
    <w:rPr>
      <w:b/>
      <w:bCs/>
    </w:rPr>
  </w:style>
  <w:style w:type="character" w:customStyle="1" w:styleId="CommentSubjectChar">
    <w:name w:val="Comment Subject Char"/>
    <w:basedOn w:val="CommentTextChar"/>
    <w:link w:val="CommentSubject"/>
    <w:uiPriority w:val="99"/>
    <w:semiHidden/>
    <w:rsid w:val="006F6B6E"/>
    <w:rPr>
      <w:rFonts w:cstheme="minorHAnsi"/>
      <w:b/>
      <w:bCs/>
      <w:sz w:val="20"/>
      <w:szCs w:val="20"/>
      <w:lang w:eastAsia="en-AU"/>
    </w:rPr>
  </w:style>
  <w:style w:type="character" w:styleId="Hyperlink">
    <w:name w:val="Hyperlink"/>
    <w:basedOn w:val="DefaultParagraphFont"/>
    <w:uiPriority w:val="99"/>
    <w:unhideWhenUsed/>
    <w:rsid w:val="004F2DB7"/>
    <w:rPr>
      <w:color w:val="0563C1" w:themeColor="hyperlink"/>
      <w:u w:val="single"/>
    </w:rPr>
  </w:style>
  <w:style w:type="character" w:customStyle="1" w:styleId="Heading4Char">
    <w:name w:val="Heading 4 Char"/>
    <w:basedOn w:val="DefaultParagraphFont"/>
    <w:link w:val="Heading4"/>
    <w:uiPriority w:val="9"/>
    <w:rsid w:val="0006669A"/>
    <w:rPr>
      <w:rFonts w:asciiTheme="majorHAnsi" w:eastAsiaTheme="majorEastAsia" w:hAnsiTheme="majorHAnsi" w:cstheme="majorBidi"/>
      <w:i/>
      <w:iCs/>
      <w:color w:val="0069AA"/>
      <w:lang w:eastAsia="en-AU"/>
    </w:rPr>
  </w:style>
  <w:style w:type="paragraph" w:styleId="Revision">
    <w:name w:val="Revision"/>
    <w:hidden/>
    <w:uiPriority w:val="99"/>
    <w:semiHidden/>
    <w:rsid w:val="00C43876"/>
    <w:pPr>
      <w:spacing w:after="0" w:line="240" w:lineRule="auto"/>
    </w:pPr>
    <w:rPr>
      <w:rFonts w:cstheme="minorHAnsi"/>
      <w:lang w:eastAsia="en-AU"/>
    </w:rPr>
  </w:style>
  <w:style w:type="character" w:styleId="Strong">
    <w:name w:val="Strong"/>
    <w:basedOn w:val="DefaultParagraphFont"/>
    <w:uiPriority w:val="22"/>
    <w:qFormat/>
    <w:rsid w:val="00CA2EC3"/>
    <w:rPr>
      <w:b/>
      <w:bCs/>
    </w:rPr>
  </w:style>
  <w:style w:type="character" w:customStyle="1" w:styleId="UnresolvedMention">
    <w:name w:val="Unresolved Mention"/>
    <w:basedOn w:val="DefaultParagraphFont"/>
    <w:uiPriority w:val="99"/>
    <w:semiHidden/>
    <w:unhideWhenUsed/>
    <w:rsid w:val="00CF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publication/note-guidance-good-clinical-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1CC24523C4148940D5BB1D4F4A6C5" ma:contentTypeVersion="15" ma:contentTypeDescription="Create a new document." ma:contentTypeScope="" ma:versionID="d1c579e81a846faffa781c4480bda6ab">
  <xsd:schema xmlns:xsd="http://www.w3.org/2001/XMLSchema" xmlns:xs="http://www.w3.org/2001/XMLSchema" xmlns:p="http://schemas.microsoft.com/office/2006/metadata/properties" xmlns:ns3="363b6cea-c010-4c1a-a194-fe4c969dda62" xmlns:ns4="f7f39b49-24a0-40cf-9381-8528d74008d1" targetNamespace="http://schemas.microsoft.com/office/2006/metadata/properties" ma:root="true" ma:fieldsID="d78d9ddb524a36bda6ea0efb07397fa0" ns3:_="" ns4:_="">
    <xsd:import namespace="363b6cea-c010-4c1a-a194-fe4c969dda62"/>
    <xsd:import namespace="f7f39b49-24a0-40cf-9381-8528d74008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b6cea-c010-4c1a-a194-fe4c969d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39b49-24a0-40cf-9381-8528d7400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3b6cea-c010-4c1a-a194-fe4c969dda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D163-D617-405E-8F6C-E61F36910ED0}">
  <ds:schemaRefs>
    <ds:schemaRef ds:uri="http://schemas.microsoft.com/sharepoint/v3/contenttype/forms"/>
  </ds:schemaRefs>
</ds:datastoreItem>
</file>

<file path=customXml/itemProps2.xml><?xml version="1.0" encoding="utf-8"?>
<ds:datastoreItem xmlns:ds="http://schemas.openxmlformats.org/officeDocument/2006/customXml" ds:itemID="{03ADFAB2-ABF4-4D5D-A085-A0F2C49C8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b6cea-c010-4c1a-a194-fe4c969dda62"/>
    <ds:schemaRef ds:uri="f7f39b49-24a0-40cf-9381-8528d740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EFF38-4F66-4976-88C0-751D1F6AD405}">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7f39b49-24a0-40cf-9381-8528d74008d1"/>
    <ds:schemaRef ds:uri="http://purl.org/dc/dcmitype/"/>
    <ds:schemaRef ds:uri="http://schemas.microsoft.com/office/2006/metadata/properties"/>
    <ds:schemaRef ds:uri="http://purl.org/dc/elements/1.1/"/>
    <ds:schemaRef ds:uri="363b6cea-c010-4c1a-a194-fe4c969dda62"/>
  </ds:schemaRefs>
</ds:datastoreItem>
</file>

<file path=customXml/itemProps4.xml><?xml version="1.0" encoding="utf-8"?>
<ds:datastoreItem xmlns:ds="http://schemas.openxmlformats.org/officeDocument/2006/customXml" ds:itemID="{9BD755EF-7B2E-4B45-BC8D-49023673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Christensen</dc:creator>
  <cp:lastModifiedBy>Jane Loke</cp:lastModifiedBy>
  <cp:revision>2</cp:revision>
  <cp:lastPrinted>2019-10-23T05:05:00Z</cp:lastPrinted>
  <dcterms:created xsi:type="dcterms:W3CDTF">2024-02-09T00:57:00Z</dcterms:created>
  <dcterms:modified xsi:type="dcterms:W3CDTF">2024-02-09T00:57:00Z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0x01010065A1CC24523C4148940D5BB1D4F4A6C5</vt:lpwstr>
  </property>
</Properties>
</file>